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BFED2" w14:textId="77777777" w:rsidR="00067C34" w:rsidRDefault="00067C34">
      <w:pPr>
        <w:ind w:right="51"/>
        <w:jc w:val="center"/>
        <w:rPr>
          <w:rFonts w:ascii="Arial" w:eastAsia="Arial" w:hAnsi="Arial" w:cs="Arial"/>
          <w:b/>
          <w:color w:val="000000"/>
          <w:sz w:val="32"/>
          <w:szCs w:val="32"/>
        </w:rPr>
      </w:pPr>
      <w:bookmarkStart w:id="0" w:name="_heading=h.gjdgxs" w:colFirst="0" w:colLast="0"/>
      <w:bookmarkEnd w:id="0"/>
    </w:p>
    <w:p w14:paraId="336BB607" w14:textId="77777777" w:rsidR="00067C34" w:rsidRDefault="00067C34">
      <w:pPr>
        <w:ind w:right="51"/>
        <w:jc w:val="center"/>
        <w:rPr>
          <w:rFonts w:ascii="Arial" w:eastAsia="Arial" w:hAnsi="Arial" w:cs="Arial"/>
          <w:b/>
          <w:color w:val="000000"/>
          <w:sz w:val="32"/>
          <w:szCs w:val="32"/>
        </w:rPr>
      </w:pPr>
    </w:p>
    <w:p w14:paraId="4632E80F" w14:textId="77777777" w:rsidR="00067C34" w:rsidRDefault="00067C34">
      <w:pPr>
        <w:ind w:right="51"/>
        <w:jc w:val="center"/>
        <w:rPr>
          <w:rFonts w:ascii="Arial" w:eastAsia="Arial" w:hAnsi="Arial" w:cs="Arial"/>
          <w:b/>
          <w:color w:val="000000"/>
          <w:sz w:val="32"/>
          <w:szCs w:val="32"/>
        </w:rPr>
      </w:pPr>
    </w:p>
    <w:p w14:paraId="29FD6629" w14:textId="77777777" w:rsidR="00067C34" w:rsidRDefault="00067C34">
      <w:pPr>
        <w:ind w:right="51"/>
        <w:jc w:val="center"/>
        <w:rPr>
          <w:rFonts w:ascii="Arial" w:eastAsia="Arial" w:hAnsi="Arial" w:cs="Arial"/>
          <w:b/>
          <w:color w:val="000000"/>
          <w:sz w:val="32"/>
          <w:szCs w:val="32"/>
        </w:rPr>
      </w:pPr>
    </w:p>
    <w:p w14:paraId="7944FD25" w14:textId="77777777" w:rsidR="00067C34" w:rsidRDefault="00067C34">
      <w:pPr>
        <w:spacing w:line="360" w:lineRule="auto"/>
        <w:ind w:left="-567" w:right="51"/>
        <w:jc w:val="center"/>
        <w:rPr>
          <w:rFonts w:ascii="Arial" w:eastAsia="Arial" w:hAnsi="Arial" w:cs="Arial"/>
          <w:b/>
          <w:color w:val="000000"/>
          <w:sz w:val="34"/>
          <w:szCs w:val="34"/>
        </w:rPr>
      </w:pPr>
    </w:p>
    <w:p w14:paraId="66B074DE" w14:textId="77777777" w:rsidR="00067C34" w:rsidRDefault="00BA3CD1">
      <w:pPr>
        <w:spacing w:line="360" w:lineRule="auto"/>
        <w:ind w:left="-567" w:right="51"/>
        <w:jc w:val="center"/>
        <w:rPr>
          <w:rFonts w:ascii="Arial" w:eastAsia="Arial" w:hAnsi="Arial" w:cs="Arial"/>
          <w:b/>
          <w:sz w:val="34"/>
          <w:szCs w:val="34"/>
        </w:rPr>
      </w:pPr>
      <w:r>
        <w:rPr>
          <w:rFonts w:ascii="Arial" w:eastAsia="Arial" w:hAnsi="Arial" w:cs="Arial"/>
          <w:b/>
          <w:color w:val="000000"/>
          <w:sz w:val="34"/>
          <w:szCs w:val="34"/>
        </w:rPr>
        <w:t>INFORME DE RESULTADOS DE</w:t>
      </w:r>
      <w:r>
        <w:rPr>
          <w:rFonts w:ascii="Arial" w:eastAsia="Arial" w:hAnsi="Arial" w:cs="Arial"/>
          <w:b/>
          <w:sz w:val="34"/>
          <w:szCs w:val="34"/>
        </w:rPr>
        <w:t xml:space="preserve"> LA </w:t>
      </w:r>
    </w:p>
    <w:p w14:paraId="1A804F61" w14:textId="77777777" w:rsidR="00067C34" w:rsidRDefault="00BA3CD1">
      <w:pPr>
        <w:spacing w:line="360" w:lineRule="auto"/>
        <w:ind w:left="-567" w:right="51"/>
        <w:jc w:val="center"/>
        <w:rPr>
          <w:rFonts w:ascii="Arial" w:eastAsia="Arial" w:hAnsi="Arial" w:cs="Arial"/>
          <w:b/>
          <w:sz w:val="34"/>
          <w:szCs w:val="34"/>
        </w:rPr>
      </w:pPr>
      <w:r>
        <w:rPr>
          <w:rFonts w:ascii="Arial" w:eastAsia="Arial" w:hAnsi="Arial" w:cs="Arial"/>
          <w:b/>
          <w:sz w:val="34"/>
          <w:szCs w:val="34"/>
        </w:rPr>
        <w:t xml:space="preserve">TERCERA EVALUACIÓN VINCULANTE DOS MIL VEINTE, </w:t>
      </w:r>
    </w:p>
    <w:p w14:paraId="4771F0D6" w14:textId="77777777" w:rsidR="00067C34" w:rsidRDefault="00BA3CD1">
      <w:pPr>
        <w:spacing w:line="360" w:lineRule="auto"/>
        <w:ind w:left="-567" w:right="51"/>
        <w:jc w:val="center"/>
        <w:rPr>
          <w:rFonts w:ascii="Arial" w:eastAsia="Arial" w:hAnsi="Arial" w:cs="Arial"/>
          <w:b/>
          <w:sz w:val="34"/>
          <w:szCs w:val="34"/>
        </w:rPr>
      </w:pPr>
      <w:r>
        <w:rPr>
          <w:rFonts w:ascii="Arial" w:eastAsia="Arial" w:hAnsi="Arial" w:cs="Arial"/>
          <w:b/>
          <w:sz w:val="34"/>
          <w:szCs w:val="34"/>
        </w:rPr>
        <w:t xml:space="preserve">RESPECTO DE LAS RECOMENDACIONES Y OBSERVACIONES EMITIDAS EN LA </w:t>
      </w:r>
    </w:p>
    <w:p w14:paraId="79312F36" w14:textId="77777777" w:rsidR="00067C34" w:rsidRDefault="00BA3CD1">
      <w:pPr>
        <w:spacing w:line="360" w:lineRule="auto"/>
        <w:ind w:left="-567" w:right="51"/>
        <w:jc w:val="center"/>
        <w:rPr>
          <w:rFonts w:ascii="Arial" w:eastAsia="Arial" w:hAnsi="Arial" w:cs="Arial"/>
          <w:b/>
          <w:sz w:val="34"/>
          <w:szCs w:val="34"/>
        </w:rPr>
      </w:pPr>
      <w:r>
        <w:rPr>
          <w:rFonts w:ascii="Arial" w:eastAsia="Arial" w:hAnsi="Arial" w:cs="Arial"/>
          <w:b/>
          <w:sz w:val="34"/>
          <w:szCs w:val="34"/>
        </w:rPr>
        <w:t>SEGUNDA EVALUACIÓN VINCULANTE DOS MIL VEINTE</w:t>
      </w:r>
    </w:p>
    <w:p w14:paraId="6EED12EA" w14:textId="77777777" w:rsidR="00067C34" w:rsidRDefault="00067C34">
      <w:pPr>
        <w:ind w:right="51"/>
        <w:jc w:val="center"/>
        <w:rPr>
          <w:rFonts w:ascii="Arial" w:eastAsia="Arial" w:hAnsi="Arial" w:cs="Arial"/>
          <w:b/>
          <w:sz w:val="32"/>
          <w:szCs w:val="32"/>
        </w:rPr>
      </w:pPr>
    </w:p>
    <w:p w14:paraId="17FB9538" w14:textId="77777777" w:rsidR="00067C34" w:rsidRDefault="00067C34">
      <w:pPr>
        <w:ind w:right="51"/>
        <w:jc w:val="right"/>
        <w:rPr>
          <w:rFonts w:ascii="Arial" w:eastAsia="Arial" w:hAnsi="Arial" w:cs="Arial"/>
          <w:b/>
          <w:sz w:val="32"/>
          <w:szCs w:val="32"/>
        </w:rPr>
      </w:pPr>
    </w:p>
    <w:p w14:paraId="299842B6" w14:textId="77777777" w:rsidR="00067C34" w:rsidRDefault="00067C34">
      <w:pPr>
        <w:ind w:right="51"/>
        <w:jc w:val="right"/>
        <w:rPr>
          <w:rFonts w:ascii="Arial" w:eastAsia="Arial" w:hAnsi="Arial" w:cs="Arial"/>
          <w:b/>
          <w:sz w:val="32"/>
          <w:szCs w:val="32"/>
        </w:rPr>
      </w:pPr>
    </w:p>
    <w:p w14:paraId="514410E4" w14:textId="77777777" w:rsidR="00067C34" w:rsidRDefault="00067C34">
      <w:pPr>
        <w:ind w:right="51"/>
        <w:jc w:val="right"/>
        <w:rPr>
          <w:rFonts w:ascii="Arial" w:eastAsia="Arial" w:hAnsi="Arial" w:cs="Arial"/>
          <w:b/>
          <w:sz w:val="32"/>
          <w:szCs w:val="32"/>
        </w:rPr>
      </w:pPr>
    </w:p>
    <w:p w14:paraId="3B48CD53" w14:textId="77777777" w:rsidR="00067C34" w:rsidRDefault="00067C34">
      <w:pPr>
        <w:ind w:right="51"/>
        <w:jc w:val="right"/>
        <w:rPr>
          <w:rFonts w:ascii="Arial" w:eastAsia="Arial" w:hAnsi="Arial" w:cs="Arial"/>
          <w:b/>
          <w:sz w:val="32"/>
          <w:szCs w:val="32"/>
        </w:rPr>
      </w:pPr>
    </w:p>
    <w:p w14:paraId="72F9C277" w14:textId="77777777" w:rsidR="00067C34" w:rsidRDefault="00067C34">
      <w:pPr>
        <w:ind w:right="51"/>
        <w:jc w:val="right"/>
        <w:rPr>
          <w:rFonts w:ascii="Arial" w:eastAsia="Arial" w:hAnsi="Arial" w:cs="Arial"/>
          <w:b/>
          <w:sz w:val="32"/>
          <w:szCs w:val="32"/>
        </w:rPr>
      </w:pPr>
    </w:p>
    <w:p w14:paraId="72A63CD9" w14:textId="77777777" w:rsidR="00067C34" w:rsidRDefault="00067C34">
      <w:pPr>
        <w:ind w:right="51"/>
        <w:jc w:val="right"/>
        <w:rPr>
          <w:rFonts w:ascii="Arial" w:eastAsia="Arial" w:hAnsi="Arial" w:cs="Arial"/>
          <w:b/>
          <w:sz w:val="32"/>
          <w:szCs w:val="32"/>
        </w:rPr>
      </w:pPr>
    </w:p>
    <w:p w14:paraId="6E794724" w14:textId="77777777" w:rsidR="00067C34" w:rsidRDefault="00067C34">
      <w:pPr>
        <w:ind w:right="51"/>
        <w:jc w:val="right"/>
        <w:rPr>
          <w:rFonts w:ascii="Arial" w:eastAsia="Arial" w:hAnsi="Arial" w:cs="Arial"/>
          <w:b/>
          <w:sz w:val="32"/>
          <w:szCs w:val="32"/>
        </w:rPr>
      </w:pPr>
    </w:p>
    <w:p w14:paraId="3DAB2916" w14:textId="77777777" w:rsidR="00067C34" w:rsidRDefault="00067C34">
      <w:pPr>
        <w:ind w:right="51"/>
        <w:jc w:val="right"/>
        <w:rPr>
          <w:rFonts w:ascii="Arial" w:eastAsia="Arial" w:hAnsi="Arial" w:cs="Arial"/>
          <w:b/>
          <w:sz w:val="32"/>
          <w:szCs w:val="32"/>
        </w:rPr>
      </w:pPr>
    </w:p>
    <w:p w14:paraId="6A541851" w14:textId="77777777" w:rsidR="00067C34" w:rsidRDefault="00067C34">
      <w:pPr>
        <w:ind w:right="51"/>
        <w:jc w:val="right"/>
        <w:rPr>
          <w:rFonts w:ascii="Arial" w:eastAsia="Arial" w:hAnsi="Arial" w:cs="Arial"/>
          <w:b/>
          <w:sz w:val="32"/>
          <w:szCs w:val="32"/>
        </w:rPr>
      </w:pPr>
    </w:p>
    <w:p w14:paraId="3735C7C6" w14:textId="77777777" w:rsidR="00067C34" w:rsidRDefault="00BA3CD1">
      <w:pPr>
        <w:ind w:right="51"/>
        <w:jc w:val="right"/>
        <w:rPr>
          <w:rFonts w:ascii="Arial" w:eastAsia="Arial" w:hAnsi="Arial" w:cs="Arial"/>
          <w:b/>
        </w:rPr>
      </w:pPr>
      <w:r>
        <w:rPr>
          <w:rFonts w:ascii="Arial" w:eastAsia="Arial" w:hAnsi="Arial" w:cs="Arial"/>
          <w:b/>
          <w:sz w:val="32"/>
          <w:szCs w:val="32"/>
        </w:rPr>
        <w:t>15 de diciembre de 2020</w:t>
      </w:r>
    </w:p>
    <w:p w14:paraId="253DC36F" w14:textId="77777777" w:rsidR="00067C34" w:rsidRDefault="00067C34">
      <w:pPr>
        <w:rPr>
          <w:rFonts w:ascii="Arial" w:eastAsia="Arial" w:hAnsi="Arial" w:cs="Arial"/>
          <w:b/>
          <w:color w:val="000000"/>
        </w:rPr>
      </w:pPr>
    </w:p>
    <w:p w14:paraId="4D7F3E42" w14:textId="77777777" w:rsidR="00067C34" w:rsidRDefault="00BA3CD1">
      <w:pPr>
        <w:rPr>
          <w:rFonts w:ascii="Arial" w:eastAsia="Arial" w:hAnsi="Arial" w:cs="Arial"/>
          <w:b/>
          <w:color w:val="000000"/>
        </w:rPr>
      </w:pPr>
      <w:r>
        <w:br w:type="page"/>
      </w:r>
    </w:p>
    <w:p w14:paraId="25844803" w14:textId="77777777" w:rsidR="00067C34" w:rsidRDefault="00BA3CD1">
      <w:pPr>
        <w:keepNext/>
        <w:keepLines/>
        <w:pBdr>
          <w:top w:val="nil"/>
          <w:left w:val="nil"/>
          <w:bottom w:val="nil"/>
          <w:right w:val="nil"/>
          <w:between w:val="nil"/>
        </w:pBdr>
        <w:spacing w:before="480" w:line="276" w:lineRule="auto"/>
        <w:jc w:val="center"/>
        <w:rPr>
          <w:rFonts w:ascii="Arial" w:eastAsia="Arial" w:hAnsi="Arial" w:cs="Arial"/>
          <w:b/>
          <w:color w:val="000000"/>
          <w:sz w:val="22"/>
          <w:szCs w:val="22"/>
        </w:rPr>
      </w:pPr>
      <w:r>
        <w:rPr>
          <w:rFonts w:ascii="Arial" w:eastAsia="Arial" w:hAnsi="Arial" w:cs="Arial"/>
          <w:b/>
          <w:color w:val="000000"/>
          <w:sz w:val="22"/>
          <w:szCs w:val="22"/>
        </w:rPr>
        <w:lastRenderedPageBreak/>
        <w:t>ÍNDICE</w:t>
      </w:r>
    </w:p>
    <w:sdt>
      <w:sdtPr>
        <w:id w:val="1834031891"/>
        <w:docPartObj>
          <w:docPartGallery w:val="Table of Contents"/>
          <w:docPartUnique/>
        </w:docPartObj>
      </w:sdtPr>
      <w:sdtEndPr/>
      <w:sdtContent>
        <w:p w14:paraId="5ECB735B" w14:textId="77777777" w:rsidR="00067C34" w:rsidRDefault="00BA3CD1">
          <w:pPr>
            <w:tabs>
              <w:tab w:val="right" w:pos="9356"/>
            </w:tabs>
            <w:spacing w:before="80"/>
            <w:rPr>
              <w:rFonts w:ascii="Arial" w:eastAsia="Arial" w:hAnsi="Arial" w:cs="Arial"/>
              <w:b/>
              <w:i/>
              <w:color w:val="000000"/>
            </w:rPr>
          </w:pPr>
          <w:r>
            <w:fldChar w:fldCharType="begin"/>
          </w:r>
          <w:r>
            <w:instrText xml:space="preserve"> TOC \h \u \z </w:instrText>
          </w:r>
          <w:r>
            <w:fldChar w:fldCharType="separate"/>
          </w:r>
          <w:hyperlink w:anchor="_heading=h.oqo7njkjegx8">
            <w:r>
              <w:rPr>
                <w:rFonts w:ascii="Arial" w:eastAsia="Arial" w:hAnsi="Arial" w:cs="Arial"/>
                <w:b/>
                <w:i/>
                <w:color w:val="000000"/>
              </w:rPr>
              <w:t>RESUMEN EJECUTIVO</w:t>
            </w:r>
          </w:hyperlink>
          <w:r>
            <w:rPr>
              <w:rFonts w:ascii="Arial" w:eastAsia="Arial" w:hAnsi="Arial" w:cs="Arial"/>
              <w:b/>
              <w:i/>
              <w:color w:val="000000"/>
            </w:rPr>
            <w:tab/>
          </w:r>
          <w:r>
            <w:fldChar w:fldCharType="begin"/>
          </w:r>
          <w:r>
            <w:instrText xml:space="preserve"> PAGEREF _heading=h.oqo7njkjegx8 \h </w:instrText>
          </w:r>
          <w:r>
            <w:fldChar w:fldCharType="separate"/>
          </w:r>
          <w:r>
            <w:rPr>
              <w:rFonts w:ascii="Arial" w:eastAsia="Arial" w:hAnsi="Arial" w:cs="Arial"/>
              <w:b/>
              <w:i/>
              <w:color w:val="000000"/>
            </w:rPr>
            <w:t>3</w:t>
          </w:r>
          <w:r>
            <w:fldChar w:fldCharType="end"/>
          </w:r>
        </w:p>
        <w:p w14:paraId="3E1542D9" w14:textId="77777777" w:rsidR="00067C34" w:rsidRDefault="00BA3CD1">
          <w:pPr>
            <w:tabs>
              <w:tab w:val="right" w:pos="9356"/>
            </w:tabs>
            <w:spacing w:before="200"/>
            <w:rPr>
              <w:rFonts w:ascii="Arial" w:eastAsia="Arial" w:hAnsi="Arial" w:cs="Arial"/>
              <w:b/>
              <w:i/>
              <w:color w:val="000000"/>
            </w:rPr>
          </w:pPr>
          <w:hyperlink w:anchor="_heading=h.3as4poj">
            <w:r>
              <w:rPr>
                <w:rFonts w:ascii="Arial" w:eastAsia="Arial" w:hAnsi="Arial" w:cs="Arial"/>
                <w:b/>
                <w:i/>
                <w:color w:val="000000"/>
              </w:rPr>
              <w:t>ANTECEDENTES</w:t>
            </w:r>
          </w:hyperlink>
          <w:r>
            <w:rPr>
              <w:rFonts w:ascii="Arial" w:eastAsia="Arial" w:hAnsi="Arial" w:cs="Arial"/>
              <w:b/>
              <w:i/>
              <w:color w:val="000000"/>
            </w:rPr>
            <w:tab/>
          </w:r>
          <w:r>
            <w:fldChar w:fldCharType="begin"/>
          </w:r>
          <w:r>
            <w:instrText xml:space="preserve"> PAGEREF </w:instrText>
          </w:r>
          <w:r>
            <w:instrText xml:space="preserve">_heading=h.3as4poj \h </w:instrText>
          </w:r>
          <w:r>
            <w:fldChar w:fldCharType="separate"/>
          </w:r>
          <w:r>
            <w:rPr>
              <w:rFonts w:ascii="Arial" w:eastAsia="Arial" w:hAnsi="Arial" w:cs="Arial"/>
              <w:b/>
              <w:i/>
              <w:color w:val="000000"/>
            </w:rPr>
            <w:t>12</w:t>
          </w:r>
          <w:r>
            <w:fldChar w:fldCharType="end"/>
          </w:r>
        </w:p>
        <w:p w14:paraId="50B26209" w14:textId="77777777" w:rsidR="00067C34" w:rsidRDefault="00BA3CD1">
          <w:pPr>
            <w:tabs>
              <w:tab w:val="right" w:pos="9356"/>
            </w:tabs>
            <w:spacing w:before="200"/>
            <w:rPr>
              <w:rFonts w:ascii="Arial" w:eastAsia="Arial" w:hAnsi="Arial" w:cs="Arial"/>
              <w:b/>
              <w:i/>
              <w:color w:val="000000"/>
            </w:rPr>
          </w:pPr>
          <w:hyperlink w:anchor="_heading=h.1pxezwc">
            <w:r>
              <w:rPr>
                <w:rFonts w:ascii="Arial" w:eastAsia="Arial" w:hAnsi="Arial" w:cs="Arial"/>
                <w:b/>
                <w:i/>
                <w:color w:val="000000"/>
              </w:rPr>
              <w:t>METODOLOGÍA</w:t>
            </w:r>
          </w:hyperlink>
          <w:r>
            <w:rPr>
              <w:rFonts w:ascii="Arial" w:eastAsia="Arial" w:hAnsi="Arial" w:cs="Arial"/>
              <w:b/>
              <w:i/>
              <w:color w:val="000000"/>
            </w:rPr>
            <w:tab/>
          </w:r>
          <w:r>
            <w:fldChar w:fldCharType="begin"/>
          </w:r>
          <w:r>
            <w:instrText xml:space="preserve"> PAGEREF _heading=h.1pxezwc \h </w:instrText>
          </w:r>
          <w:r>
            <w:fldChar w:fldCharType="separate"/>
          </w:r>
          <w:r>
            <w:rPr>
              <w:rFonts w:ascii="Arial" w:eastAsia="Arial" w:hAnsi="Arial" w:cs="Arial"/>
              <w:b/>
              <w:i/>
              <w:color w:val="000000"/>
            </w:rPr>
            <w:t>16</w:t>
          </w:r>
          <w:r>
            <w:fldChar w:fldCharType="end"/>
          </w:r>
        </w:p>
        <w:p w14:paraId="6667DFFD" w14:textId="77777777" w:rsidR="00067C34" w:rsidRDefault="00BA3CD1">
          <w:pPr>
            <w:tabs>
              <w:tab w:val="right" w:pos="9356"/>
            </w:tabs>
            <w:spacing w:before="200"/>
            <w:rPr>
              <w:rFonts w:ascii="Arial" w:eastAsia="Arial" w:hAnsi="Arial" w:cs="Arial"/>
              <w:b/>
              <w:i/>
              <w:color w:val="000000"/>
            </w:rPr>
          </w:pPr>
          <w:hyperlink w:anchor="_heading=h.49x2ik5">
            <w:r>
              <w:rPr>
                <w:rFonts w:ascii="Arial" w:eastAsia="Arial" w:hAnsi="Arial" w:cs="Arial"/>
                <w:b/>
                <w:i/>
                <w:color w:val="000000"/>
              </w:rPr>
              <w:t>RESULTADOS GLOBALES</w:t>
            </w:r>
          </w:hyperlink>
          <w:r>
            <w:rPr>
              <w:rFonts w:ascii="Arial" w:eastAsia="Arial" w:hAnsi="Arial" w:cs="Arial"/>
              <w:b/>
              <w:i/>
              <w:color w:val="000000"/>
            </w:rPr>
            <w:tab/>
          </w:r>
          <w:r>
            <w:fldChar w:fldCharType="begin"/>
          </w:r>
          <w:r>
            <w:instrText xml:space="preserve"> PAGEREF _heading=h.49x2ik5 \h </w:instrText>
          </w:r>
          <w:r>
            <w:fldChar w:fldCharType="separate"/>
          </w:r>
          <w:r>
            <w:rPr>
              <w:rFonts w:ascii="Arial" w:eastAsia="Arial" w:hAnsi="Arial" w:cs="Arial"/>
              <w:b/>
              <w:i/>
              <w:color w:val="000000"/>
            </w:rPr>
            <w:t>19</w:t>
          </w:r>
          <w:r>
            <w:fldChar w:fldCharType="end"/>
          </w:r>
        </w:p>
        <w:p w14:paraId="3A08DC41" w14:textId="77777777" w:rsidR="00067C34" w:rsidRDefault="00BA3CD1">
          <w:pPr>
            <w:tabs>
              <w:tab w:val="right" w:pos="9356"/>
            </w:tabs>
            <w:spacing w:before="200"/>
            <w:rPr>
              <w:rFonts w:ascii="Arial" w:eastAsia="Arial" w:hAnsi="Arial" w:cs="Arial"/>
              <w:b/>
              <w:i/>
              <w:color w:val="000000"/>
            </w:rPr>
          </w:pPr>
          <w:hyperlink w:anchor="_heading=h.2p2csry">
            <w:r>
              <w:rPr>
                <w:rFonts w:ascii="Arial" w:eastAsia="Arial" w:hAnsi="Arial" w:cs="Arial"/>
                <w:b/>
                <w:i/>
                <w:color w:val="000000"/>
              </w:rPr>
              <w:t>ADMINISTRACIÓN PÚBLICA CENTRAL</w:t>
            </w:r>
          </w:hyperlink>
          <w:r>
            <w:rPr>
              <w:rFonts w:ascii="Arial" w:eastAsia="Arial" w:hAnsi="Arial" w:cs="Arial"/>
              <w:b/>
              <w:i/>
              <w:color w:val="000000"/>
            </w:rPr>
            <w:tab/>
          </w:r>
          <w:r>
            <w:fldChar w:fldCharType="begin"/>
          </w:r>
          <w:r>
            <w:instrText xml:space="preserve"> PAGEREF _head</w:instrText>
          </w:r>
          <w:r>
            <w:instrText xml:space="preserve">ing=h.2p2csry \h </w:instrText>
          </w:r>
          <w:r>
            <w:fldChar w:fldCharType="separate"/>
          </w:r>
          <w:r>
            <w:rPr>
              <w:rFonts w:ascii="Arial" w:eastAsia="Arial" w:hAnsi="Arial" w:cs="Arial"/>
              <w:b/>
              <w:i/>
              <w:color w:val="000000"/>
            </w:rPr>
            <w:t>31</w:t>
          </w:r>
          <w:r>
            <w:fldChar w:fldCharType="end"/>
          </w:r>
        </w:p>
        <w:p w14:paraId="00F6804F" w14:textId="77777777" w:rsidR="00067C34" w:rsidRDefault="00BA3CD1">
          <w:pPr>
            <w:tabs>
              <w:tab w:val="right" w:pos="9356"/>
            </w:tabs>
            <w:spacing w:before="60"/>
            <w:ind w:left="360"/>
            <w:rPr>
              <w:rFonts w:ascii="Arial" w:eastAsia="Arial" w:hAnsi="Arial" w:cs="Arial"/>
              <w:b/>
              <w:color w:val="000000"/>
              <w:sz w:val="22"/>
              <w:szCs w:val="22"/>
            </w:rPr>
          </w:pPr>
          <w:hyperlink w:anchor="_heading=h.147n2zr">
            <w:r>
              <w:rPr>
                <w:rFonts w:ascii="Arial" w:eastAsia="Arial" w:hAnsi="Arial" w:cs="Arial"/>
                <w:b/>
                <w:color w:val="000000"/>
                <w:sz w:val="22"/>
                <w:szCs w:val="22"/>
              </w:rPr>
              <w:t>Análisis global de cumplimiento de la administración pública central</w:t>
            </w:r>
          </w:hyperlink>
          <w:r>
            <w:rPr>
              <w:rFonts w:ascii="Arial" w:eastAsia="Arial" w:hAnsi="Arial" w:cs="Arial"/>
              <w:b/>
              <w:color w:val="000000"/>
              <w:sz w:val="22"/>
              <w:szCs w:val="22"/>
            </w:rPr>
            <w:tab/>
          </w:r>
          <w:r>
            <w:fldChar w:fldCharType="begin"/>
          </w:r>
          <w:r>
            <w:instrText xml:space="preserve"> PAGEREF _heading=h.147n2zr \h </w:instrText>
          </w:r>
          <w:r>
            <w:fldChar w:fldCharType="separate"/>
          </w:r>
          <w:r>
            <w:rPr>
              <w:rFonts w:ascii="Arial" w:eastAsia="Arial" w:hAnsi="Arial" w:cs="Arial"/>
              <w:b/>
              <w:color w:val="000000"/>
              <w:sz w:val="22"/>
              <w:szCs w:val="22"/>
            </w:rPr>
            <w:t>31</w:t>
          </w:r>
          <w:r>
            <w:fldChar w:fldCharType="end"/>
          </w:r>
        </w:p>
        <w:p w14:paraId="0BA5103F" w14:textId="77777777" w:rsidR="00067C34" w:rsidRDefault="00BA3CD1">
          <w:pPr>
            <w:tabs>
              <w:tab w:val="right" w:pos="9356"/>
            </w:tabs>
            <w:spacing w:before="200"/>
            <w:rPr>
              <w:rFonts w:ascii="Arial" w:eastAsia="Arial" w:hAnsi="Arial" w:cs="Arial"/>
              <w:b/>
              <w:i/>
              <w:color w:val="000000"/>
            </w:rPr>
          </w:pPr>
          <w:hyperlink w:anchor="_heading=h.3o7alnk">
            <w:r>
              <w:rPr>
                <w:rFonts w:ascii="Arial" w:eastAsia="Arial" w:hAnsi="Arial" w:cs="Arial"/>
                <w:b/>
                <w:i/>
                <w:color w:val="000000"/>
              </w:rPr>
              <w:t>ÓRGANOS DESCONCENTRADOS, DESCENTRALIZADOS, PARAESTATALES, AUXILIARES, FONDOS Y FIDEICOMISOS</w:t>
            </w:r>
          </w:hyperlink>
          <w:r>
            <w:rPr>
              <w:rFonts w:ascii="Arial" w:eastAsia="Arial" w:hAnsi="Arial" w:cs="Arial"/>
              <w:b/>
              <w:i/>
              <w:color w:val="000000"/>
            </w:rPr>
            <w:tab/>
          </w:r>
          <w:r>
            <w:fldChar w:fldCharType="begin"/>
          </w:r>
          <w:r>
            <w:instrText xml:space="preserve"> PAGEREF _heading=h.3o7alnk \h </w:instrText>
          </w:r>
          <w:r>
            <w:fldChar w:fldCharType="separate"/>
          </w:r>
          <w:r>
            <w:rPr>
              <w:rFonts w:ascii="Arial" w:eastAsia="Arial" w:hAnsi="Arial" w:cs="Arial"/>
              <w:b/>
              <w:i/>
              <w:color w:val="000000"/>
            </w:rPr>
            <w:t>34</w:t>
          </w:r>
          <w:r>
            <w:fldChar w:fldCharType="end"/>
          </w:r>
        </w:p>
        <w:p w14:paraId="566D078B" w14:textId="77777777" w:rsidR="00067C34" w:rsidRDefault="00BA3CD1">
          <w:pPr>
            <w:tabs>
              <w:tab w:val="right" w:pos="9356"/>
            </w:tabs>
            <w:spacing w:before="60"/>
            <w:ind w:left="360"/>
            <w:rPr>
              <w:rFonts w:ascii="Arial" w:eastAsia="Arial" w:hAnsi="Arial" w:cs="Arial"/>
              <w:b/>
              <w:color w:val="000000"/>
              <w:sz w:val="22"/>
              <w:szCs w:val="22"/>
            </w:rPr>
          </w:pPr>
          <w:hyperlink w:anchor="_heading=h.23ckvvd">
            <w:r>
              <w:rPr>
                <w:rFonts w:ascii="Arial" w:eastAsia="Arial" w:hAnsi="Arial" w:cs="Arial"/>
                <w:b/>
                <w:color w:val="000000"/>
                <w:sz w:val="22"/>
                <w:szCs w:val="22"/>
              </w:rPr>
              <w:t>Análisis global de cumplimiento de los órganos desconcentrados, descentralizados, paraestatales, auxiliares, fondos y fideicomisos</w:t>
            </w:r>
          </w:hyperlink>
          <w:r>
            <w:rPr>
              <w:rFonts w:ascii="Arial" w:eastAsia="Arial" w:hAnsi="Arial" w:cs="Arial"/>
              <w:b/>
              <w:color w:val="000000"/>
              <w:sz w:val="22"/>
              <w:szCs w:val="22"/>
            </w:rPr>
            <w:tab/>
          </w:r>
          <w:r>
            <w:fldChar w:fldCharType="begin"/>
          </w:r>
          <w:r>
            <w:instrText xml:space="preserve"> PAGEREF _heading=h.23ckvvd \h</w:instrText>
          </w:r>
          <w:r>
            <w:instrText xml:space="preserve"> </w:instrText>
          </w:r>
          <w:r>
            <w:fldChar w:fldCharType="separate"/>
          </w:r>
          <w:r>
            <w:rPr>
              <w:rFonts w:ascii="Arial" w:eastAsia="Arial" w:hAnsi="Arial" w:cs="Arial"/>
              <w:b/>
              <w:color w:val="000000"/>
              <w:sz w:val="22"/>
              <w:szCs w:val="22"/>
            </w:rPr>
            <w:t>34</w:t>
          </w:r>
          <w:r>
            <w:fldChar w:fldCharType="end"/>
          </w:r>
        </w:p>
        <w:p w14:paraId="2FC74FDA" w14:textId="77777777" w:rsidR="00067C34" w:rsidRDefault="00BA3CD1">
          <w:pPr>
            <w:tabs>
              <w:tab w:val="right" w:pos="9356"/>
            </w:tabs>
            <w:spacing w:before="200"/>
            <w:rPr>
              <w:rFonts w:ascii="Arial" w:eastAsia="Arial" w:hAnsi="Arial" w:cs="Arial"/>
              <w:b/>
              <w:i/>
              <w:color w:val="000000"/>
            </w:rPr>
          </w:pPr>
          <w:hyperlink w:anchor="_heading=h.ihv636">
            <w:r>
              <w:rPr>
                <w:rFonts w:ascii="Arial" w:eastAsia="Arial" w:hAnsi="Arial" w:cs="Arial"/>
                <w:b/>
                <w:i/>
                <w:color w:val="000000"/>
              </w:rPr>
              <w:t>ALCALDÍAS</w:t>
            </w:r>
          </w:hyperlink>
          <w:r>
            <w:rPr>
              <w:rFonts w:ascii="Arial" w:eastAsia="Arial" w:hAnsi="Arial" w:cs="Arial"/>
              <w:b/>
              <w:i/>
              <w:color w:val="000000"/>
            </w:rPr>
            <w:tab/>
          </w:r>
          <w:r>
            <w:fldChar w:fldCharType="begin"/>
          </w:r>
          <w:r>
            <w:instrText xml:space="preserve"> PAGEREF _heading=h.ihv636 \h </w:instrText>
          </w:r>
          <w:r>
            <w:fldChar w:fldCharType="separate"/>
          </w:r>
          <w:r>
            <w:rPr>
              <w:rFonts w:ascii="Arial" w:eastAsia="Arial" w:hAnsi="Arial" w:cs="Arial"/>
              <w:b/>
              <w:i/>
              <w:color w:val="000000"/>
            </w:rPr>
            <w:t>41</w:t>
          </w:r>
          <w:r>
            <w:fldChar w:fldCharType="end"/>
          </w:r>
        </w:p>
        <w:p w14:paraId="0C4F3305" w14:textId="77777777" w:rsidR="00067C34" w:rsidRDefault="00BA3CD1">
          <w:pPr>
            <w:tabs>
              <w:tab w:val="right" w:pos="9356"/>
            </w:tabs>
            <w:spacing w:before="60"/>
            <w:ind w:left="360"/>
            <w:rPr>
              <w:rFonts w:ascii="Arial" w:eastAsia="Arial" w:hAnsi="Arial" w:cs="Arial"/>
              <w:b/>
              <w:color w:val="000000"/>
              <w:sz w:val="22"/>
              <w:szCs w:val="22"/>
            </w:rPr>
          </w:pPr>
          <w:hyperlink w:anchor="_heading=h.32hioqz">
            <w:r>
              <w:rPr>
                <w:rFonts w:ascii="Arial" w:eastAsia="Arial" w:hAnsi="Arial" w:cs="Arial"/>
                <w:b/>
                <w:color w:val="000000"/>
                <w:sz w:val="22"/>
                <w:szCs w:val="22"/>
              </w:rPr>
              <w:t>Análisis global de cumplimiento de las alcaldías</w:t>
            </w:r>
          </w:hyperlink>
          <w:r>
            <w:rPr>
              <w:rFonts w:ascii="Arial" w:eastAsia="Arial" w:hAnsi="Arial" w:cs="Arial"/>
              <w:b/>
              <w:color w:val="000000"/>
              <w:sz w:val="22"/>
              <w:szCs w:val="22"/>
            </w:rPr>
            <w:tab/>
          </w:r>
          <w:r>
            <w:fldChar w:fldCharType="begin"/>
          </w:r>
          <w:r>
            <w:instrText xml:space="preserve"> PAGEREF _heading=h.32hioqz \h </w:instrText>
          </w:r>
          <w:r>
            <w:fldChar w:fldCharType="separate"/>
          </w:r>
          <w:r>
            <w:rPr>
              <w:rFonts w:ascii="Arial" w:eastAsia="Arial" w:hAnsi="Arial" w:cs="Arial"/>
              <w:b/>
              <w:color w:val="000000"/>
              <w:sz w:val="22"/>
              <w:szCs w:val="22"/>
            </w:rPr>
            <w:t>41</w:t>
          </w:r>
          <w:r>
            <w:fldChar w:fldCharType="end"/>
          </w:r>
        </w:p>
        <w:p w14:paraId="5564EB9B" w14:textId="77777777" w:rsidR="00067C34" w:rsidRDefault="00BA3CD1">
          <w:pPr>
            <w:tabs>
              <w:tab w:val="right" w:pos="9356"/>
            </w:tabs>
            <w:spacing w:before="200"/>
            <w:rPr>
              <w:rFonts w:ascii="Arial" w:eastAsia="Arial" w:hAnsi="Arial" w:cs="Arial"/>
              <w:b/>
              <w:i/>
              <w:color w:val="000000"/>
            </w:rPr>
          </w:pPr>
          <w:hyperlink w:anchor="_heading=h.1hmsyys">
            <w:r>
              <w:rPr>
                <w:rFonts w:ascii="Arial" w:eastAsia="Arial" w:hAnsi="Arial" w:cs="Arial"/>
                <w:b/>
                <w:i/>
                <w:color w:val="000000"/>
              </w:rPr>
              <w:t>PODER LEGISLATIVO</w:t>
            </w:r>
          </w:hyperlink>
          <w:r>
            <w:rPr>
              <w:rFonts w:ascii="Arial" w:eastAsia="Arial" w:hAnsi="Arial" w:cs="Arial"/>
              <w:b/>
              <w:i/>
              <w:color w:val="000000"/>
            </w:rPr>
            <w:tab/>
          </w:r>
          <w:r>
            <w:fldChar w:fldCharType="begin"/>
          </w:r>
          <w:r>
            <w:instrText xml:space="preserve"> PAGEREF _heading=h.1hmsyys \h </w:instrText>
          </w:r>
          <w:r>
            <w:fldChar w:fldCharType="separate"/>
          </w:r>
          <w:r>
            <w:rPr>
              <w:rFonts w:ascii="Arial" w:eastAsia="Arial" w:hAnsi="Arial" w:cs="Arial"/>
              <w:b/>
              <w:i/>
              <w:color w:val="000000"/>
            </w:rPr>
            <w:t>44</w:t>
          </w:r>
          <w:r>
            <w:fldChar w:fldCharType="end"/>
          </w:r>
        </w:p>
        <w:p w14:paraId="1BAF7A45" w14:textId="77777777" w:rsidR="00067C34" w:rsidRDefault="00BA3CD1">
          <w:pPr>
            <w:tabs>
              <w:tab w:val="right" w:pos="9356"/>
            </w:tabs>
            <w:spacing w:before="60"/>
            <w:ind w:left="360"/>
            <w:rPr>
              <w:rFonts w:ascii="Arial" w:eastAsia="Arial" w:hAnsi="Arial" w:cs="Arial"/>
              <w:b/>
              <w:color w:val="000000"/>
              <w:sz w:val="22"/>
              <w:szCs w:val="22"/>
            </w:rPr>
          </w:pPr>
          <w:hyperlink w:anchor="_heading=h.41mghml">
            <w:r>
              <w:rPr>
                <w:rFonts w:ascii="Arial" w:eastAsia="Arial" w:hAnsi="Arial" w:cs="Arial"/>
                <w:b/>
                <w:color w:val="000000"/>
                <w:sz w:val="22"/>
                <w:szCs w:val="22"/>
              </w:rPr>
              <w:t>Análisis global de cumplimiento del Poder Legislativo</w:t>
            </w:r>
          </w:hyperlink>
          <w:r>
            <w:rPr>
              <w:rFonts w:ascii="Arial" w:eastAsia="Arial" w:hAnsi="Arial" w:cs="Arial"/>
              <w:b/>
              <w:color w:val="000000"/>
              <w:sz w:val="22"/>
              <w:szCs w:val="22"/>
            </w:rPr>
            <w:tab/>
          </w:r>
          <w:r>
            <w:fldChar w:fldCharType="begin"/>
          </w:r>
          <w:r>
            <w:instrText xml:space="preserve"> PAGEREF _heading=h.41mghml \h </w:instrText>
          </w:r>
          <w:r>
            <w:fldChar w:fldCharType="separate"/>
          </w:r>
          <w:r>
            <w:rPr>
              <w:rFonts w:ascii="Arial" w:eastAsia="Arial" w:hAnsi="Arial" w:cs="Arial"/>
              <w:b/>
              <w:color w:val="000000"/>
              <w:sz w:val="22"/>
              <w:szCs w:val="22"/>
            </w:rPr>
            <w:t>44</w:t>
          </w:r>
          <w:r>
            <w:fldChar w:fldCharType="end"/>
          </w:r>
        </w:p>
        <w:p w14:paraId="35F25E31" w14:textId="77777777" w:rsidR="00067C34" w:rsidRDefault="00BA3CD1">
          <w:pPr>
            <w:tabs>
              <w:tab w:val="right" w:pos="9356"/>
            </w:tabs>
            <w:spacing w:before="200"/>
            <w:rPr>
              <w:rFonts w:ascii="Arial" w:eastAsia="Arial" w:hAnsi="Arial" w:cs="Arial"/>
              <w:b/>
              <w:i/>
              <w:color w:val="000000"/>
            </w:rPr>
          </w:pPr>
          <w:hyperlink w:anchor="_heading=h.2grqrue">
            <w:r>
              <w:rPr>
                <w:rFonts w:ascii="Arial" w:eastAsia="Arial" w:hAnsi="Arial" w:cs="Arial"/>
                <w:b/>
                <w:i/>
                <w:color w:val="000000"/>
              </w:rPr>
              <w:t>PODER JUDICIAL</w:t>
            </w:r>
          </w:hyperlink>
          <w:r>
            <w:rPr>
              <w:rFonts w:ascii="Arial" w:eastAsia="Arial" w:hAnsi="Arial" w:cs="Arial"/>
              <w:b/>
              <w:i/>
              <w:color w:val="000000"/>
            </w:rPr>
            <w:tab/>
          </w:r>
          <w:r>
            <w:fldChar w:fldCharType="begin"/>
          </w:r>
          <w:r>
            <w:instrText xml:space="preserve"> PAGEREF _heading=h.2grqrue \h </w:instrText>
          </w:r>
          <w:r>
            <w:fldChar w:fldCharType="separate"/>
          </w:r>
          <w:r>
            <w:rPr>
              <w:rFonts w:ascii="Arial" w:eastAsia="Arial" w:hAnsi="Arial" w:cs="Arial"/>
              <w:b/>
              <w:i/>
              <w:color w:val="000000"/>
            </w:rPr>
            <w:t>47</w:t>
          </w:r>
          <w:r>
            <w:fldChar w:fldCharType="end"/>
          </w:r>
        </w:p>
        <w:p w14:paraId="2E144F53" w14:textId="77777777" w:rsidR="00067C34" w:rsidRDefault="00BA3CD1">
          <w:pPr>
            <w:tabs>
              <w:tab w:val="right" w:pos="9356"/>
            </w:tabs>
            <w:spacing w:before="60"/>
            <w:ind w:left="360"/>
            <w:rPr>
              <w:rFonts w:ascii="Arial" w:eastAsia="Arial" w:hAnsi="Arial" w:cs="Arial"/>
              <w:b/>
              <w:color w:val="000000"/>
              <w:sz w:val="22"/>
              <w:szCs w:val="22"/>
            </w:rPr>
          </w:pPr>
          <w:hyperlink w:anchor="_heading=h.vx1227">
            <w:r>
              <w:rPr>
                <w:rFonts w:ascii="Arial" w:eastAsia="Arial" w:hAnsi="Arial" w:cs="Arial"/>
                <w:b/>
                <w:color w:val="000000"/>
                <w:sz w:val="22"/>
                <w:szCs w:val="22"/>
              </w:rPr>
              <w:t>An</w:t>
            </w:r>
            <w:r>
              <w:rPr>
                <w:rFonts w:ascii="Arial" w:eastAsia="Arial" w:hAnsi="Arial" w:cs="Arial"/>
                <w:b/>
                <w:color w:val="000000"/>
                <w:sz w:val="22"/>
                <w:szCs w:val="22"/>
              </w:rPr>
              <w:t>álisis global de cumplimiento del Poder Judicial</w:t>
            </w:r>
          </w:hyperlink>
          <w:r>
            <w:rPr>
              <w:rFonts w:ascii="Arial" w:eastAsia="Arial" w:hAnsi="Arial" w:cs="Arial"/>
              <w:b/>
              <w:color w:val="000000"/>
              <w:sz w:val="22"/>
              <w:szCs w:val="22"/>
            </w:rPr>
            <w:tab/>
          </w:r>
          <w:r>
            <w:fldChar w:fldCharType="begin"/>
          </w:r>
          <w:r>
            <w:instrText xml:space="preserve"> PAGEREF _heading=h.vx1227 \h </w:instrText>
          </w:r>
          <w:r>
            <w:fldChar w:fldCharType="separate"/>
          </w:r>
          <w:r>
            <w:rPr>
              <w:rFonts w:ascii="Arial" w:eastAsia="Arial" w:hAnsi="Arial" w:cs="Arial"/>
              <w:b/>
              <w:color w:val="000000"/>
              <w:sz w:val="22"/>
              <w:szCs w:val="22"/>
            </w:rPr>
            <w:t>47</w:t>
          </w:r>
          <w:r>
            <w:fldChar w:fldCharType="end"/>
          </w:r>
        </w:p>
        <w:p w14:paraId="5C33EE9B" w14:textId="77777777" w:rsidR="00067C34" w:rsidRDefault="00BA3CD1">
          <w:pPr>
            <w:tabs>
              <w:tab w:val="right" w:pos="9356"/>
            </w:tabs>
            <w:spacing w:before="200"/>
            <w:rPr>
              <w:rFonts w:ascii="Arial" w:eastAsia="Arial" w:hAnsi="Arial" w:cs="Arial"/>
              <w:b/>
              <w:i/>
              <w:color w:val="000000"/>
            </w:rPr>
          </w:pPr>
          <w:hyperlink w:anchor="_heading=h.3fwokq0">
            <w:r>
              <w:rPr>
                <w:rFonts w:ascii="Arial" w:eastAsia="Arial" w:hAnsi="Arial" w:cs="Arial"/>
                <w:b/>
                <w:i/>
                <w:color w:val="000000"/>
              </w:rPr>
              <w:t>ÓRGANOS AUTÓNOMOS</w:t>
            </w:r>
          </w:hyperlink>
          <w:r>
            <w:rPr>
              <w:rFonts w:ascii="Arial" w:eastAsia="Arial" w:hAnsi="Arial" w:cs="Arial"/>
              <w:b/>
              <w:i/>
              <w:color w:val="000000"/>
            </w:rPr>
            <w:tab/>
          </w:r>
          <w:r>
            <w:fldChar w:fldCharType="begin"/>
          </w:r>
          <w:r>
            <w:instrText xml:space="preserve"> PAGEREF _heading=h.3fwokq0 \h </w:instrText>
          </w:r>
          <w:r>
            <w:fldChar w:fldCharType="separate"/>
          </w:r>
          <w:r>
            <w:rPr>
              <w:rFonts w:ascii="Arial" w:eastAsia="Arial" w:hAnsi="Arial" w:cs="Arial"/>
              <w:b/>
              <w:i/>
              <w:color w:val="000000"/>
            </w:rPr>
            <w:t>50</w:t>
          </w:r>
          <w:r>
            <w:fldChar w:fldCharType="end"/>
          </w:r>
        </w:p>
        <w:p w14:paraId="4F5586C6" w14:textId="77777777" w:rsidR="00067C34" w:rsidRDefault="00BA3CD1">
          <w:pPr>
            <w:tabs>
              <w:tab w:val="right" w:pos="9356"/>
            </w:tabs>
            <w:spacing w:before="60"/>
            <w:ind w:left="360"/>
            <w:rPr>
              <w:rFonts w:ascii="Arial" w:eastAsia="Arial" w:hAnsi="Arial" w:cs="Arial"/>
              <w:b/>
              <w:color w:val="000000"/>
              <w:sz w:val="22"/>
              <w:szCs w:val="22"/>
            </w:rPr>
          </w:pPr>
          <w:hyperlink w:anchor="_heading=h.1v1yuxt">
            <w:r>
              <w:rPr>
                <w:rFonts w:ascii="Arial" w:eastAsia="Arial" w:hAnsi="Arial" w:cs="Arial"/>
                <w:b/>
                <w:color w:val="000000"/>
                <w:sz w:val="22"/>
                <w:szCs w:val="22"/>
              </w:rPr>
              <w:t>Análisis global de cumplimiento de los órganos autónomos</w:t>
            </w:r>
          </w:hyperlink>
          <w:r>
            <w:rPr>
              <w:rFonts w:ascii="Arial" w:eastAsia="Arial" w:hAnsi="Arial" w:cs="Arial"/>
              <w:b/>
              <w:color w:val="000000"/>
              <w:sz w:val="22"/>
              <w:szCs w:val="22"/>
            </w:rPr>
            <w:tab/>
          </w:r>
          <w:r>
            <w:fldChar w:fldCharType="begin"/>
          </w:r>
          <w:r>
            <w:instrText xml:space="preserve"> PAGEREF _heading=h.1v1yuxt \h </w:instrText>
          </w:r>
          <w:r>
            <w:fldChar w:fldCharType="separate"/>
          </w:r>
          <w:r>
            <w:rPr>
              <w:rFonts w:ascii="Arial" w:eastAsia="Arial" w:hAnsi="Arial" w:cs="Arial"/>
              <w:b/>
              <w:color w:val="000000"/>
              <w:sz w:val="22"/>
              <w:szCs w:val="22"/>
            </w:rPr>
            <w:t>50</w:t>
          </w:r>
          <w:r>
            <w:fldChar w:fldCharType="end"/>
          </w:r>
        </w:p>
        <w:p w14:paraId="1F204B4C" w14:textId="77777777" w:rsidR="00067C34" w:rsidRDefault="00BA3CD1">
          <w:pPr>
            <w:tabs>
              <w:tab w:val="right" w:pos="9356"/>
            </w:tabs>
            <w:spacing w:before="200"/>
            <w:rPr>
              <w:rFonts w:ascii="Arial" w:eastAsia="Arial" w:hAnsi="Arial" w:cs="Arial"/>
              <w:b/>
              <w:i/>
              <w:color w:val="000000"/>
            </w:rPr>
          </w:pPr>
          <w:hyperlink w:anchor="_heading=h.4f1mdlm">
            <w:r>
              <w:rPr>
                <w:rFonts w:ascii="Arial" w:eastAsia="Arial" w:hAnsi="Arial" w:cs="Arial"/>
                <w:b/>
                <w:i/>
                <w:color w:val="000000"/>
              </w:rPr>
              <w:t>PARTIDOS POLÍTICOS</w:t>
            </w:r>
          </w:hyperlink>
          <w:r>
            <w:rPr>
              <w:rFonts w:ascii="Arial" w:eastAsia="Arial" w:hAnsi="Arial" w:cs="Arial"/>
              <w:b/>
              <w:i/>
              <w:color w:val="000000"/>
            </w:rPr>
            <w:tab/>
          </w:r>
          <w:r>
            <w:fldChar w:fldCharType="begin"/>
          </w:r>
          <w:r>
            <w:instrText xml:space="preserve"> PAGEREF _heading=h.4f1mdlm \h </w:instrText>
          </w:r>
          <w:r>
            <w:fldChar w:fldCharType="separate"/>
          </w:r>
          <w:r>
            <w:rPr>
              <w:rFonts w:ascii="Arial" w:eastAsia="Arial" w:hAnsi="Arial" w:cs="Arial"/>
              <w:b/>
              <w:i/>
              <w:color w:val="000000"/>
            </w:rPr>
            <w:t>53</w:t>
          </w:r>
          <w:r>
            <w:fldChar w:fldCharType="end"/>
          </w:r>
        </w:p>
        <w:p w14:paraId="34F575A2" w14:textId="77777777" w:rsidR="00067C34" w:rsidRDefault="00BA3CD1">
          <w:pPr>
            <w:tabs>
              <w:tab w:val="right" w:pos="9356"/>
            </w:tabs>
            <w:spacing w:before="60"/>
            <w:ind w:left="360"/>
            <w:rPr>
              <w:rFonts w:ascii="Arial" w:eastAsia="Arial" w:hAnsi="Arial" w:cs="Arial"/>
              <w:b/>
              <w:color w:val="000000"/>
              <w:sz w:val="22"/>
              <w:szCs w:val="22"/>
            </w:rPr>
          </w:pPr>
          <w:hyperlink w:anchor="_heading=h.2u6wntf">
            <w:r>
              <w:rPr>
                <w:rFonts w:ascii="Arial" w:eastAsia="Arial" w:hAnsi="Arial" w:cs="Arial"/>
                <w:b/>
                <w:color w:val="000000"/>
                <w:sz w:val="22"/>
                <w:szCs w:val="22"/>
              </w:rPr>
              <w:t>Análisis global de cumplimiento de los partidos políticos</w:t>
            </w:r>
          </w:hyperlink>
          <w:r>
            <w:rPr>
              <w:rFonts w:ascii="Arial" w:eastAsia="Arial" w:hAnsi="Arial" w:cs="Arial"/>
              <w:b/>
              <w:color w:val="000000"/>
              <w:sz w:val="22"/>
              <w:szCs w:val="22"/>
            </w:rPr>
            <w:tab/>
          </w:r>
          <w:r>
            <w:fldChar w:fldCharType="begin"/>
          </w:r>
          <w:r>
            <w:instrText xml:space="preserve"> PAGEREF _heading=h.2u6wntf \h </w:instrText>
          </w:r>
          <w:r>
            <w:fldChar w:fldCharType="separate"/>
          </w:r>
          <w:r>
            <w:rPr>
              <w:rFonts w:ascii="Arial" w:eastAsia="Arial" w:hAnsi="Arial" w:cs="Arial"/>
              <w:b/>
              <w:color w:val="000000"/>
              <w:sz w:val="22"/>
              <w:szCs w:val="22"/>
            </w:rPr>
            <w:t>53</w:t>
          </w:r>
          <w:r>
            <w:fldChar w:fldCharType="end"/>
          </w:r>
        </w:p>
        <w:p w14:paraId="47AE8538" w14:textId="77777777" w:rsidR="00067C34" w:rsidRDefault="00BA3CD1">
          <w:pPr>
            <w:tabs>
              <w:tab w:val="right" w:pos="9356"/>
            </w:tabs>
            <w:spacing w:before="200"/>
            <w:rPr>
              <w:rFonts w:ascii="Arial" w:eastAsia="Arial" w:hAnsi="Arial" w:cs="Arial"/>
              <w:b/>
              <w:i/>
              <w:color w:val="000000"/>
            </w:rPr>
          </w:pPr>
          <w:hyperlink w:anchor="_heading=h.19c6y18">
            <w:r>
              <w:rPr>
                <w:rFonts w:ascii="Arial" w:eastAsia="Arial" w:hAnsi="Arial" w:cs="Arial"/>
                <w:b/>
                <w:i/>
                <w:color w:val="000000"/>
              </w:rPr>
              <w:t>SINDICATOS</w:t>
            </w:r>
          </w:hyperlink>
          <w:r>
            <w:rPr>
              <w:rFonts w:ascii="Arial" w:eastAsia="Arial" w:hAnsi="Arial" w:cs="Arial"/>
              <w:b/>
              <w:i/>
              <w:color w:val="000000"/>
            </w:rPr>
            <w:tab/>
          </w:r>
          <w:r>
            <w:fldChar w:fldCharType="begin"/>
          </w:r>
          <w:r>
            <w:instrText xml:space="preserve"> PAGEREF _heading=h.19c6y18 \h </w:instrText>
          </w:r>
          <w:r>
            <w:fldChar w:fldCharType="separate"/>
          </w:r>
          <w:r>
            <w:rPr>
              <w:rFonts w:ascii="Arial" w:eastAsia="Arial" w:hAnsi="Arial" w:cs="Arial"/>
              <w:b/>
              <w:i/>
              <w:color w:val="000000"/>
            </w:rPr>
            <w:t>57</w:t>
          </w:r>
          <w:r>
            <w:fldChar w:fldCharType="end"/>
          </w:r>
        </w:p>
        <w:p w14:paraId="0D39861F" w14:textId="77777777" w:rsidR="00067C34" w:rsidRDefault="00BA3CD1">
          <w:pPr>
            <w:tabs>
              <w:tab w:val="right" w:pos="9356"/>
            </w:tabs>
            <w:spacing w:before="60"/>
            <w:ind w:left="360"/>
            <w:rPr>
              <w:rFonts w:ascii="Arial" w:eastAsia="Arial" w:hAnsi="Arial" w:cs="Arial"/>
              <w:b/>
              <w:color w:val="000000"/>
              <w:sz w:val="22"/>
              <w:szCs w:val="22"/>
            </w:rPr>
          </w:pPr>
          <w:hyperlink w:anchor="_heading=h.3tbugp1">
            <w:r>
              <w:rPr>
                <w:rFonts w:ascii="Arial" w:eastAsia="Arial" w:hAnsi="Arial" w:cs="Arial"/>
                <w:b/>
                <w:color w:val="000000"/>
                <w:sz w:val="22"/>
                <w:szCs w:val="22"/>
              </w:rPr>
              <w:t>Análisis global de cumplimiento de los sindicatos</w:t>
            </w:r>
          </w:hyperlink>
          <w:r>
            <w:rPr>
              <w:rFonts w:ascii="Arial" w:eastAsia="Arial" w:hAnsi="Arial" w:cs="Arial"/>
              <w:b/>
              <w:color w:val="000000"/>
              <w:sz w:val="22"/>
              <w:szCs w:val="22"/>
            </w:rPr>
            <w:tab/>
          </w:r>
          <w:r>
            <w:fldChar w:fldCharType="begin"/>
          </w:r>
          <w:r>
            <w:instrText xml:space="preserve"> PAGEREF _heading=h.3tbugp1 \h </w:instrText>
          </w:r>
          <w:r>
            <w:fldChar w:fldCharType="separate"/>
          </w:r>
          <w:r>
            <w:rPr>
              <w:rFonts w:ascii="Arial" w:eastAsia="Arial" w:hAnsi="Arial" w:cs="Arial"/>
              <w:b/>
              <w:color w:val="000000"/>
              <w:sz w:val="22"/>
              <w:szCs w:val="22"/>
            </w:rPr>
            <w:t>57</w:t>
          </w:r>
          <w:r>
            <w:fldChar w:fldCharType="end"/>
          </w:r>
        </w:p>
        <w:p w14:paraId="72DAFF64" w14:textId="77777777" w:rsidR="00067C34" w:rsidRDefault="00BA3CD1">
          <w:pPr>
            <w:tabs>
              <w:tab w:val="right" w:pos="9356"/>
            </w:tabs>
            <w:spacing w:before="200"/>
            <w:rPr>
              <w:rFonts w:ascii="Arial" w:eastAsia="Arial" w:hAnsi="Arial" w:cs="Arial"/>
              <w:b/>
              <w:i/>
              <w:color w:val="000000"/>
            </w:rPr>
          </w:pPr>
          <w:hyperlink w:anchor="_heading=h.28h4qwu">
            <w:r>
              <w:rPr>
                <w:rFonts w:ascii="Arial" w:eastAsia="Arial" w:hAnsi="Arial" w:cs="Arial"/>
                <w:b/>
                <w:i/>
                <w:color w:val="000000"/>
              </w:rPr>
              <w:t>ANÁLISIS SOBRE CONTRATACIONES</w:t>
            </w:r>
          </w:hyperlink>
          <w:r>
            <w:rPr>
              <w:rFonts w:ascii="Arial" w:eastAsia="Arial" w:hAnsi="Arial" w:cs="Arial"/>
              <w:b/>
              <w:i/>
              <w:color w:val="000000"/>
            </w:rPr>
            <w:tab/>
          </w:r>
          <w:r>
            <w:fldChar w:fldCharType="begin"/>
          </w:r>
          <w:r>
            <w:instrText xml:space="preserve"> PAGEREF _heading=h.28h4qwu \h </w:instrText>
          </w:r>
          <w:r>
            <w:fldChar w:fldCharType="separate"/>
          </w:r>
          <w:r>
            <w:rPr>
              <w:rFonts w:ascii="Arial" w:eastAsia="Arial" w:hAnsi="Arial" w:cs="Arial"/>
              <w:b/>
              <w:i/>
              <w:color w:val="000000"/>
            </w:rPr>
            <w:t>62</w:t>
          </w:r>
          <w:r>
            <w:fldChar w:fldCharType="end"/>
          </w:r>
        </w:p>
        <w:p w14:paraId="56849F01" w14:textId="77777777" w:rsidR="00067C34" w:rsidRDefault="00BA3CD1">
          <w:pPr>
            <w:tabs>
              <w:tab w:val="right" w:pos="9356"/>
            </w:tabs>
            <w:spacing w:before="60"/>
            <w:ind w:left="360"/>
            <w:rPr>
              <w:rFonts w:ascii="Arial" w:eastAsia="Arial" w:hAnsi="Arial" w:cs="Arial"/>
              <w:b/>
              <w:color w:val="000000"/>
              <w:sz w:val="22"/>
              <w:szCs w:val="22"/>
            </w:rPr>
          </w:pPr>
          <w:hyperlink w:anchor="_heading=h.nmf14n">
            <w:r>
              <w:rPr>
                <w:rFonts w:ascii="Arial" w:eastAsia="Arial" w:hAnsi="Arial" w:cs="Arial"/>
                <w:b/>
                <w:color w:val="000000"/>
                <w:sz w:val="22"/>
                <w:szCs w:val="22"/>
              </w:rPr>
              <w:t>Resultados del análisis a las fracciones relativas a las contrataciones</w:t>
            </w:r>
          </w:hyperlink>
          <w:r>
            <w:rPr>
              <w:rFonts w:ascii="Arial" w:eastAsia="Arial" w:hAnsi="Arial" w:cs="Arial"/>
              <w:b/>
              <w:color w:val="000000"/>
              <w:sz w:val="22"/>
              <w:szCs w:val="22"/>
            </w:rPr>
            <w:tab/>
          </w:r>
          <w:r>
            <w:fldChar w:fldCharType="begin"/>
          </w:r>
          <w:r>
            <w:instrText xml:space="preserve"> PAGEREF _heading=h.nmf14n \h </w:instrText>
          </w:r>
          <w:r>
            <w:fldChar w:fldCharType="separate"/>
          </w:r>
          <w:r>
            <w:rPr>
              <w:rFonts w:ascii="Arial" w:eastAsia="Arial" w:hAnsi="Arial" w:cs="Arial"/>
              <w:b/>
              <w:color w:val="000000"/>
              <w:sz w:val="22"/>
              <w:szCs w:val="22"/>
            </w:rPr>
            <w:t>64</w:t>
          </w:r>
          <w:r>
            <w:fldChar w:fldCharType="end"/>
          </w:r>
        </w:p>
        <w:p w14:paraId="38D4D6FC" w14:textId="77777777" w:rsidR="00067C34" w:rsidRDefault="00BA3CD1">
          <w:pPr>
            <w:tabs>
              <w:tab w:val="right" w:pos="9356"/>
            </w:tabs>
            <w:spacing w:before="200"/>
            <w:rPr>
              <w:rFonts w:ascii="Arial" w:eastAsia="Arial" w:hAnsi="Arial" w:cs="Arial"/>
              <w:b/>
              <w:i/>
              <w:color w:val="000000"/>
            </w:rPr>
          </w:pPr>
          <w:hyperlink w:anchor="_heading=h.37m2jsg">
            <w:r>
              <w:rPr>
                <w:rFonts w:ascii="Arial" w:eastAsia="Arial" w:hAnsi="Arial" w:cs="Arial"/>
                <w:b/>
                <w:i/>
                <w:color w:val="000000"/>
              </w:rPr>
              <w:t>CONCLU</w:t>
            </w:r>
            <w:r>
              <w:rPr>
                <w:rFonts w:ascii="Arial" w:eastAsia="Arial" w:hAnsi="Arial" w:cs="Arial"/>
                <w:b/>
                <w:i/>
                <w:color w:val="000000"/>
              </w:rPr>
              <w:t>SIONES Y RECOMENDACIONES</w:t>
            </w:r>
          </w:hyperlink>
          <w:r>
            <w:rPr>
              <w:rFonts w:ascii="Arial" w:eastAsia="Arial" w:hAnsi="Arial" w:cs="Arial"/>
              <w:b/>
              <w:i/>
              <w:color w:val="000000"/>
            </w:rPr>
            <w:tab/>
          </w:r>
          <w:r>
            <w:fldChar w:fldCharType="begin"/>
          </w:r>
          <w:r>
            <w:instrText xml:space="preserve"> PAGEREF _heading=h.37m2jsg \h </w:instrText>
          </w:r>
          <w:r>
            <w:fldChar w:fldCharType="separate"/>
          </w:r>
          <w:r>
            <w:rPr>
              <w:rFonts w:ascii="Arial" w:eastAsia="Arial" w:hAnsi="Arial" w:cs="Arial"/>
              <w:b/>
              <w:i/>
              <w:color w:val="000000"/>
            </w:rPr>
            <w:t>70</w:t>
          </w:r>
          <w:r>
            <w:fldChar w:fldCharType="end"/>
          </w:r>
        </w:p>
        <w:p w14:paraId="5848516B" w14:textId="77777777" w:rsidR="00067C34" w:rsidRDefault="00BA3CD1">
          <w:pPr>
            <w:tabs>
              <w:tab w:val="right" w:pos="9356"/>
            </w:tabs>
            <w:spacing w:before="60"/>
            <w:ind w:left="360"/>
            <w:rPr>
              <w:rFonts w:ascii="Arial" w:eastAsia="Arial" w:hAnsi="Arial" w:cs="Arial"/>
              <w:b/>
              <w:color w:val="000000"/>
              <w:sz w:val="22"/>
              <w:szCs w:val="22"/>
            </w:rPr>
          </w:pPr>
          <w:hyperlink w:anchor="_heading=h.1mrcu09">
            <w:r>
              <w:rPr>
                <w:rFonts w:ascii="Arial" w:eastAsia="Arial" w:hAnsi="Arial" w:cs="Arial"/>
                <w:b/>
                <w:color w:val="000000"/>
                <w:sz w:val="22"/>
                <w:szCs w:val="22"/>
              </w:rPr>
              <w:t>Conclusiones</w:t>
            </w:r>
          </w:hyperlink>
          <w:r>
            <w:rPr>
              <w:rFonts w:ascii="Arial" w:eastAsia="Arial" w:hAnsi="Arial" w:cs="Arial"/>
              <w:b/>
              <w:color w:val="000000"/>
              <w:sz w:val="22"/>
              <w:szCs w:val="22"/>
            </w:rPr>
            <w:tab/>
          </w:r>
          <w:r>
            <w:fldChar w:fldCharType="begin"/>
          </w:r>
          <w:r>
            <w:instrText xml:space="preserve"> PAGEREF _heading=h.1mrcu09 \h </w:instrText>
          </w:r>
          <w:r>
            <w:fldChar w:fldCharType="separate"/>
          </w:r>
          <w:r>
            <w:rPr>
              <w:rFonts w:ascii="Arial" w:eastAsia="Arial" w:hAnsi="Arial" w:cs="Arial"/>
              <w:b/>
              <w:color w:val="000000"/>
              <w:sz w:val="22"/>
              <w:szCs w:val="22"/>
            </w:rPr>
            <w:t>70</w:t>
          </w:r>
          <w:r>
            <w:fldChar w:fldCharType="end"/>
          </w:r>
        </w:p>
        <w:p w14:paraId="696867D6" w14:textId="77777777" w:rsidR="00067C34" w:rsidRDefault="00BA3CD1">
          <w:pPr>
            <w:tabs>
              <w:tab w:val="right" w:pos="9356"/>
            </w:tabs>
            <w:spacing w:before="60" w:after="80"/>
            <w:ind w:left="360"/>
            <w:rPr>
              <w:rFonts w:ascii="Arial" w:eastAsia="Arial" w:hAnsi="Arial" w:cs="Arial"/>
              <w:b/>
              <w:color w:val="000000"/>
              <w:sz w:val="22"/>
              <w:szCs w:val="22"/>
            </w:rPr>
          </w:pPr>
          <w:hyperlink w:anchor="_heading=h.46r0co2">
            <w:r>
              <w:rPr>
                <w:rFonts w:ascii="Arial" w:eastAsia="Arial" w:hAnsi="Arial" w:cs="Arial"/>
                <w:b/>
                <w:color w:val="000000"/>
                <w:sz w:val="22"/>
                <w:szCs w:val="22"/>
              </w:rPr>
              <w:t>Recomendaciones</w:t>
            </w:r>
          </w:hyperlink>
          <w:r>
            <w:rPr>
              <w:rFonts w:ascii="Arial" w:eastAsia="Arial" w:hAnsi="Arial" w:cs="Arial"/>
              <w:b/>
              <w:color w:val="000000"/>
              <w:sz w:val="22"/>
              <w:szCs w:val="22"/>
            </w:rPr>
            <w:tab/>
          </w:r>
          <w:r>
            <w:fldChar w:fldCharType="begin"/>
          </w:r>
          <w:r>
            <w:instrText xml:space="preserve"> PAGEREF _heading=h.46r0co2 \h </w:instrText>
          </w:r>
          <w:r>
            <w:fldChar w:fldCharType="separate"/>
          </w:r>
          <w:r>
            <w:rPr>
              <w:rFonts w:ascii="Arial" w:eastAsia="Arial" w:hAnsi="Arial" w:cs="Arial"/>
              <w:b/>
              <w:color w:val="000000"/>
              <w:sz w:val="22"/>
              <w:szCs w:val="22"/>
            </w:rPr>
            <w:t>72</w:t>
          </w:r>
          <w:r>
            <w:fldChar w:fldCharType="end"/>
          </w:r>
          <w:r>
            <w:fldChar w:fldCharType="end"/>
          </w:r>
        </w:p>
      </w:sdtContent>
    </w:sdt>
    <w:p w14:paraId="65646125" w14:textId="77777777" w:rsidR="00067C34" w:rsidRDefault="00BA3CD1">
      <w:pPr>
        <w:pStyle w:val="Ttulo1"/>
        <w:rPr>
          <w:rFonts w:ascii="Arial" w:eastAsia="Arial" w:hAnsi="Arial" w:cs="Arial"/>
          <w:b/>
          <w:color w:val="000000"/>
          <w:sz w:val="24"/>
          <w:szCs w:val="24"/>
        </w:rPr>
      </w:pPr>
      <w:bookmarkStart w:id="1" w:name="_heading=h.oqo7njkjegx8" w:colFirst="0" w:colLast="0"/>
      <w:bookmarkEnd w:id="1"/>
      <w:r>
        <w:rPr>
          <w:rFonts w:ascii="Arial" w:eastAsia="Arial" w:hAnsi="Arial" w:cs="Arial"/>
          <w:b/>
          <w:color w:val="000000"/>
          <w:sz w:val="24"/>
          <w:szCs w:val="24"/>
        </w:rPr>
        <w:lastRenderedPageBreak/>
        <w:t>RESUMEN EJECUTIVO</w:t>
      </w:r>
    </w:p>
    <w:p w14:paraId="56EFB191" w14:textId="77777777" w:rsidR="00067C34" w:rsidRDefault="00BA3CD1">
      <w:pPr>
        <w:spacing w:before="200" w:after="200" w:line="360" w:lineRule="auto"/>
        <w:jc w:val="both"/>
        <w:rPr>
          <w:rFonts w:ascii="Arial" w:eastAsia="Arial" w:hAnsi="Arial" w:cs="Arial"/>
        </w:rPr>
      </w:pPr>
      <w:r>
        <w:rPr>
          <w:rFonts w:ascii="Arial" w:eastAsia="Arial" w:hAnsi="Arial" w:cs="Arial"/>
        </w:rPr>
        <w:t>Del 29 de octubre al 25 de noviembre del 2020, el Instituto de Transparencia, Acceso a la Información Pública, Protección de Datos Personales y Rendición de Cuentas de la Ciudad de México (INFO), a través de la Dirección de Estado Abierto, Estudios y Eval</w:t>
      </w:r>
      <w:r>
        <w:rPr>
          <w:rFonts w:ascii="Arial" w:eastAsia="Arial" w:hAnsi="Arial" w:cs="Arial"/>
        </w:rPr>
        <w:t>uación (DEAEE) realizó la Evaluación de Solventación (Tercera Evaluación Vinculante 2020) que verificó la atención, por parte de 119 sujetos obligados a las recomendaciones y observaciones derivadas de la Segunda Evaluación Vinculante 2020 para el cumplimi</w:t>
      </w:r>
      <w:r>
        <w:rPr>
          <w:rFonts w:ascii="Arial" w:eastAsia="Arial" w:hAnsi="Arial" w:cs="Arial"/>
        </w:rPr>
        <w:t>ento de las obligaciones de transparencia que deben mantener publicadas y actualizadas en su portal de Internet y en la Plataforma Nacional de Transparencia del ejercicio 2019.</w:t>
      </w:r>
    </w:p>
    <w:p w14:paraId="447BDB72" w14:textId="77777777" w:rsidR="00067C34" w:rsidRDefault="00BA3CD1">
      <w:pPr>
        <w:spacing w:before="200" w:after="200" w:line="360" w:lineRule="auto"/>
        <w:jc w:val="both"/>
        <w:rPr>
          <w:rFonts w:ascii="Arial" w:eastAsia="Arial" w:hAnsi="Arial" w:cs="Arial"/>
        </w:rPr>
      </w:pPr>
      <w:r>
        <w:rPr>
          <w:rFonts w:ascii="Arial" w:eastAsia="Arial" w:hAnsi="Arial" w:cs="Arial"/>
        </w:rPr>
        <w:t>Con ello, además de cumplir con el mandato establecido en el artículo 154 de la</w:t>
      </w:r>
      <w:r>
        <w:rPr>
          <w:rFonts w:ascii="Arial" w:eastAsia="Arial" w:hAnsi="Arial" w:cs="Arial"/>
        </w:rPr>
        <w:t xml:space="preserve"> Ley de Transparencia; así como de los numerales XI y XII del artículo 22 del Reglamento Interior, la DEAEE contribuye a la implementación del Plan Estratégico para Desarrollar la Agenda de Estado Abierto desde el Instituto 2019-2025 y en particular con el</w:t>
      </w:r>
      <w:r>
        <w:rPr>
          <w:rFonts w:ascii="Arial" w:eastAsia="Arial" w:hAnsi="Arial" w:cs="Arial"/>
        </w:rPr>
        <w:t xml:space="preserve"> objetivo estratégico número seis que se refiere a disminuir el incumplimiento de obligaciones de transparencia por parte de los sujetos obligados, en atención a evaluaciones oportunas y eficaces, a partir de diagnósticos con perspectiva de derechos humano</w:t>
      </w:r>
      <w:r>
        <w:rPr>
          <w:rFonts w:ascii="Arial" w:eastAsia="Arial" w:hAnsi="Arial" w:cs="Arial"/>
        </w:rPr>
        <w:t>s y accesibilidad pertinentes.</w:t>
      </w:r>
    </w:p>
    <w:p w14:paraId="5E9E8119" w14:textId="77777777" w:rsidR="00067C34" w:rsidRDefault="00BA3CD1">
      <w:pPr>
        <w:spacing w:before="200" w:after="200" w:line="360" w:lineRule="auto"/>
        <w:jc w:val="both"/>
        <w:rPr>
          <w:rFonts w:ascii="Arial" w:eastAsia="Arial" w:hAnsi="Arial" w:cs="Arial"/>
        </w:rPr>
      </w:pPr>
      <w:r>
        <w:rPr>
          <w:rFonts w:ascii="Arial" w:eastAsia="Arial" w:hAnsi="Arial" w:cs="Arial"/>
        </w:rPr>
        <w:t>Para ello, cabe mencionar que el Padrón de sujetos obligados vigente al 31 de diciembre de 2019 se integraba por 146 sujetos de los cuales, sin embargo, en la Segunda Evaluación Vinculante 2020 se verificaron 143, porque tres</w:t>
      </w:r>
      <w:r>
        <w:rPr>
          <w:rFonts w:ascii="Arial" w:eastAsia="Arial" w:hAnsi="Arial" w:cs="Arial"/>
        </w:rPr>
        <w:t xml:space="preserve"> de ellos estaban en el plazo para la incorporar su información cuando inició la evaluación. De esos 143 sujetos obligados verificados, 24 cumplieron totalmente con el piso mínimo que marca la Ley de Transparencia local, en tanto que los restantes 119 suje</w:t>
      </w:r>
      <w:r>
        <w:rPr>
          <w:rFonts w:ascii="Arial" w:eastAsia="Arial" w:hAnsi="Arial" w:cs="Arial"/>
        </w:rPr>
        <w:t xml:space="preserve">tos obligados presentaron distintas áreas de oportunidad. </w:t>
      </w:r>
    </w:p>
    <w:p w14:paraId="01CB9060" w14:textId="77777777" w:rsidR="00067C34" w:rsidRDefault="00BA3CD1">
      <w:pPr>
        <w:spacing w:before="200" w:after="200" w:line="360" w:lineRule="auto"/>
        <w:jc w:val="both"/>
        <w:rPr>
          <w:rFonts w:ascii="Arial" w:eastAsia="Arial" w:hAnsi="Arial" w:cs="Arial"/>
        </w:rPr>
      </w:pPr>
      <w:r>
        <w:rPr>
          <w:rFonts w:ascii="Arial" w:eastAsia="Arial" w:hAnsi="Arial" w:cs="Arial"/>
        </w:rPr>
        <w:t>El conjunto de los 119 sujetos obligados se integra por: 9 sujetos pertenecientes a la administración pública central, 59 son organismos desconcentrados, descentralizados, paraestatales, auxiliares</w:t>
      </w:r>
      <w:r>
        <w:rPr>
          <w:rFonts w:ascii="Arial" w:eastAsia="Arial" w:hAnsi="Arial" w:cs="Arial"/>
        </w:rPr>
        <w:t xml:space="preserve">, fondos y fideicomisos, 11 son alcaldías, 2 sujetos obligados son del Poder Legislativo, 2 del Poder Judicial, 5 son órganos autónomos, 10 partidos políticos y 21 sindicatos. </w:t>
      </w:r>
    </w:p>
    <w:p w14:paraId="796E62C0" w14:textId="77777777" w:rsidR="00067C34" w:rsidRDefault="00BA3CD1">
      <w:pPr>
        <w:spacing w:before="200" w:after="200" w:line="360" w:lineRule="auto"/>
        <w:jc w:val="both"/>
        <w:rPr>
          <w:rFonts w:ascii="Arial" w:eastAsia="Arial" w:hAnsi="Arial" w:cs="Arial"/>
        </w:rPr>
      </w:pPr>
      <w:r>
        <w:rPr>
          <w:rFonts w:ascii="Arial" w:eastAsia="Arial" w:hAnsi="Arial" w:cs="Arial"/>
        </w:rPr>
        <w:t>En tal sentido, con fundamento en el artículo 154 de la Ley de Transparencia lo</w:t>
      </w:r>
      <w:r>
        <w:rPr>
          <w:rFonts w:ascii="Arial" w:eastAsia="Arial" w:hAnsi="Arial" w:cs="Arial"/>
        </w:rPr>
        <w:t>cal, la presente Evaluación de Solventación consistió en verificar que los 119 sujetos obligados que recibieron recomendaciones y observaciones en sus respectivos dictámenes de evaluación, las hubieran atendido. Por ello, en el proceso de revisión únicamen</w:t>
      </w:r>
      <w:r>
        <w:rPr>
          <w:rFonts w:ascii="Arial" w:eastAsia="Arial" w:hAnsi="Arial" w:cs="Arial"/>
        </w:rPr>
        <w:t>te se verificaron los artículos y fracciones en las que se advirtieron áreas de oportunidad, para determinar si en esos puntos específicos hubo solventación, mientras que aquellas obligaciones cumplidas en la Segunda Evaluación Vinculante 2020, no se verif</w:t>
      </w:r>
      <w:r>
        <w:rPr>
          <w:rFonts w:ascii="Arial" w:eastAsia="Arial" w:hAnsi="Arial" w:cs="Arial"/>
        </w:rPr>
        <w:t xml:space="preserve">icaron. </w:t>
      </w:r>
    </w:p>
    <w:p w14:paraId="1ACF6294"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En atención a lo anterior, los resultados ubican a los sujetos obligados evaluados en alguno de los siguientes cuatro </w:t>
      </w:r>
      <w:r>
        <w:rPr>
          <w:rFonts w:ascii="Arial" w:eastAsia="Arial" w:hAnsi="Arial" w:cs="Arial"/>
          <w:b/>
        </w:rPr>
        <w:t>niveles de cumplimiento</w:t>
      </w:r>
      <w:r>
        <w:rPr>
          <w:rFonts w:ascii="Arial" w:eastAsia="Arial" w:hAnsi="Arial" w:cs="Arial"/>
        </w:rPr>
        <w:t xml:space="preserve"> que ya definidos en la Evaluación previa: </w:t>
      </w:r>
    </w:p>
    <w:p w14:paraId="210597DE" w14:textId="77777777" w:rsidR="00067C34" w:rsidRDefault="00BA3CD1">
      <w:pPr>
        <w:numPr>
          <w:ilvl w:val="0"/>
          <w:numId w:val="4"/>
        </w:numPr>
        <w:pBdr>
          <w:top w:val="nil"/>
          <w:left w:val="nil"/>
          <w:bottom w:val="nil"/>
          <w:right w:val="nil"/>
          <w:between w:val="nil"/>
        </w:pBdr>
        <w:spacing w:line="360" w:lineRule="auto"/>
        <w:ind w:hanging="360"/>
        <w:jc w:val="both"/>
        <w:rPr>
          <w:rFonts w:ascii="Arial" w:eastAsia="Arial" w:hAnsi="Arial" w:cs="Arial"/>
          <w:color w:val="000000"/>
        </w:rPr>
      </w:pPr>
      <w:r>
        <w:rPr>
          <w:rFonts w:ascii="Arial" w:eastAsia="Arial" w:hAnsi="Arial" w:cs="Arial"/>
          <w:b/>
          <w:color w:val="000000"/>
        </w:rPr>
        <w:t>Cumplimiento total</w:t>
      </w:r>
      <w:r>
        <w:rPr>
          <w:rFonts w:ascii="Arial" w:eastAsia="Arial" w:hAnsi="Arial" w:cs="Arial"/>
          <w:color w:val="000000"/>
        </w:rPr>
        <w:t xml:space="preserve"> de las obligaciones de transparencia</w:t>
      </w:r>
      <w:r>
        <w:rPr>
          <w:rFonts w:ascii="Arial" w:eastAsia="Arial" w:hAnsi="Arial" w:cs="Arial"/>
        </w:rPr>
        <w:t xml:space="preserve"> que se traduce en un resultado de 100 puntos en el Índice Global de Cumplimiento de las Obligaciones de Transparencia (IGOT)</w:t>
      </w:r>
      <w:r>
        <w:rPr>
          <w:rFonts w:ascii="Arial" w:eastAsia="Arial" w:hAnsi="Arial" w:cs="Arial"/>
          <w:color w:val="000000"/>
        </w:rPr>
        <w:t>, resultado de haber atendido a cabalidad las recomendaciones y observaciones emitidas en la S</w:t>
      </w:r>
      <w:r>
        <w:rPr>
          <w:rFonts w:ascii="Arial" w:eastAsia="Arial" w:hAnsi="Arial" w:cs="Arial"/>
          <w:color w:val="000000"/>
        </w:rPr>
        <w:t>egunda Evaluación Vinculante 2020</w:t>
      </w:r>
      <w:r>
        <w:rPr>
          <w:rFonts w:ascii="Arial" w:eastAsia="Arial" w:hAnsi="Arial" w:cs="Arial"/>
        </w:rPr>
        <w:t xml:space="preserve">. Este nivel fue alcanzado por </w:t>
      </w:r>
      <w:r>
        <w:rPr>
          <w:rFonts w:ascii="Arial" w:eastAsia="Arial" w:hAnsi="Arial" w:cs="Arial"/>
          <w:b/>
        </w:rPr>
        <w:t>29</w:t>
      </w:r>
      <w:r>
        <w:rPr>
          <w:rFonts w:ascii="Arial" w:eastAsia="Arial" w:hAnsi="Arial" w:cs="Arial"/>
        </w:rPr>
        <w:t xml:space="preserve"> de los 119 </w:t>
      </w:r>
      <w:r>
        <w:rPr>
          <w:rFonts w:ascii="Arial" w:eastAsia="Arial" w:hAnsi="Arial" w:cs="Arial"/>
          <w:b/>
        </w:rPr>
        <w:t>sujetos obligados</w:t>
      </w:r>
      <w:r>
        <w:rPr>
          <w:rFonts w:ascii="Arial" w:eastAsia="Arial" w:hAnsi="Arial" w:cs="Arial"/>
        </w:rPr>
        <w:t xml:space="preserve"> verificados que se desglosan por ámbito de gobierno de la siguiente forma: cinco de la administración pública central, catorce son organismos desconcentrados, d</w:t>
      </w:r>
      <w:r>
        <w:rPr>
          <w:rFonts w:ascii="Arial" w:eastAsia="Arial" w:hAnsi="Arial" w:cs="Arial"/>
        </w:rPr>
        <w:t>escentralizados, paraestatales, auxiliares, fondos y fideicomisos, tres alcaldías, dos son órganos autónomos, uno del Poder Judicial y cuatro son partidos políticos.</w:t>
      </w:r>
    </w:p>
    <w:p w14:paraId="6E9FD9CA" w14:textId="77777777" w:rsidR="00067C34" w:rsidRDefault="00067C34">
      <w:pPr>
        <w:pBdr>
          <w:top w:val="nil"/>
          <w:left w:val="nil"/>
          <w:bottom w:val="nil"/>
          <w:right w:val="nil"/>
          <w:between w:val="nil"/>
        </w:pBdr>
        <w:spacing w:line="360" w:lineRule="auto"/>
        <w:ind w:left="789"/>
        <w:jc w:val="both"/>
        <w:rPr>
          <w:rFonts w:ascii="Arial" w:eastAsia="Arial" w:hAnsi="Arial" w:cs="Arial"/>
          <w:color w:val="000000"/>
        </w:rPr>
      </w:pPr>
    </w:p>
    <w:p w14:paraId="057318CA" w14:textId="77777777" w:rsidR="00067C34" w:rsidRDefault="00BA3CD1">
      <w:pPr>
        <w:numPr>
          <w:ilvl w:val="0"/>
          <w:numId w:val="4"/>
        </w:numPr>
        <w:pBdr>
          <w:top w:val="nil"/>
          <w:left w:val="nil"/>
          <w:bottom w:val="nil"/>
          <w:right w:val="nil"/>
          <w:between w:val="nil"/>
        </w:pBdr>
        <w:spacing w:line="360" w:lineRule="auto"/>
        <w:ind w:hanging="360"/>
        <w:jc w:val="both"/>
        <w:rPr>
          <w:rFonts w:ascii="Arial" w:eastAsia="Arial" w:hAnsi="Arial" w:cs="Arial"/>
          <w:color w:val="000000"/>
        </w:rPr>
      </w:pPr>
      <w:r>
        <w:rPr>
          <w:rFonts w:ascii="Arial" w:eastAsia="Arial" w:hAnsi="Arial" w:cs="Arial"/>
          <w:b/>
          <w:color w:val="000000"/>
        </w:rPr>
        <w:t>Cumplimiento parcial</w:t>
      </w:r>
      <w:r>
        <w:rPr>
          <w:rFonts w:ascii="Arial" w:eastAsia="Arial" w:hAnsi="Arial" w:cs="Arial"/>
          <w:color w:val="000000"/>
        </w:rPr>
        <w:t xml:space="preserve">, esto significa que </w:t>
      </w:r>
      <w:r>
        <w:rPr>
          <w:rFonts w:ascii="Arial" w:eastAsia="Arial" w:hAnsi="Arial" w:cs="Arial"/>
        </w:rPr>
        <w:t>s</w:t>
      </w:r>
      <w:r>
        <w:rPr>
          <w:rFonts w:ascii="Arial" w:eastAsia="Arial" w:hAnsi="Arial" w:cs="Arial"/>
          <w:color w:val="000000"/>
        </w:rPr>
        <w:t>u IGOT se ubica e</w:t>
      </w:r>
      <w:r>
        <w:rPr>
          <w:rFonts w:ascii="Arial" w:eastAsia="Arial" w:hAnsi="Arial" w:cs="Arial"/>
        </w:rPr>
        <w:t xml:space="preserve">ntre 99.99 y 60 </w:t>
      </w:r>
      <w:r>
        <w:rPr>
          <w:rFonts w:ascii="Arial" w:eastAsia="Arial" w:hAnsi="Arial" w:cs="Arial"/>
          <w:color w:val="000000"/>
        </w:rPr>
        <w:t>puntos</w:t>
      </w:r>
      <w:r>
        <w:rPr>
          <w:rFonts w:ascii="Arial" w:eastAsia="Arial" w:hAnsi="Arial" w:cs="Arial"/>
        </w:rPr>
        <w:t xml:space="preserve">. Este nivel de cumplimiento puede ser </w:t>
      </w:r>
      <w:r>
        <w:rPr>
          <w:rFonts w:ascii="Arial" w:eastAsia="Arial" w:hAnsi="Arial" w:cs="Arial"/>
          <w:color w:val="000000"/>
        </w:rPr>
        <w:t xml:space="preserve">resultado de </w:t>
      </w:r>
      <w:r>
        <w:rPr>
          <w:rFonts w:ascii="Arial" w:eastAsia="Arial" w:hAnsi="Arial" w:cs="Arial"/>
        </w:rPr>
        <w:t xml:space="preserve">un </w:t>
      </w:r>
      <w:r>
        <w:rPr>
          <w:rFonts w:ascii="Arial" w:eastAsia="Arial" w:hAnsi="Arial" w:cs="Arial"/>
          <w:color w:val="000000"/>
        </w:rPr>
        <w:t xml:space="preserve">incremento en el puntaje de su índice global de obligaciones de transparencia, porque se </w:t>
      </w:r>
      <w:r>
        <w:rPr>
          <w:rFonts w:ascii="Arial" w:eastAsia="Arial" w:hAnsi="Arial" w:cs="Arial"/>
        </w:rPr>
        <w:t>atendieron</w:t>
      </w:r>
      <w:r>
        <w:rPr>
          <w:rFonts w:ascii="Arial" w:eastAsia="Arial" w:hAnsi="Arial" w:cs="Arial"/>
          <w:color w:val="000000"/>
        </w:rPr>
        <w:t xml:space="preserve"> parcialmente las recomendaciones y observaciones emitidas, o bien, ya se encont</w:t>
      </w:r>
      <w:r>
        <w:rPr>
          <w:rFonts w:ascii="Arial" w:eastAsia="Arial" w:hAnsi="Arial" w:cs="Arial"/>
          <w:color w:val="000000"/>
        </w:rPr>
        <w:t>raban en esta categoría y a pesar de no haber atendido las observaciones se mantuvieron sin cambio</w:t>
      </w:r>
      <w:r>
        <w:rPr>
          <w:rFonts w:ascii="Arial" w:eastAsia="Arial" w:hAnsi="Arial" w:cs="Arial"/>
        </w:rPr>
        <w:t xml:space="preserve">. Se trata de </w:t>
      </w:r>
      <w:r>
        <w:rPr>
          <w:rFonts w:ascii="Arial" w:eastAsia="Arial" w:hAnsi="Arial" w:cs="Arial"/>
          <w:b/>
        </w:rPr>
        <w:t>63 sujetos obligados</w:t>
      </w:r>
      <w:r>
        <w:rPr>
          <w:rFonts w:ascii="Arial" w:eastAsia="Arial" w:hAnsi="Arial" w:cs="Arial"/>
        </w:rPr>
        <w:t xml:space="preserve"> que se distribuyen de la siguiente forma por ámbito de gobierno: cuatro forman parte de la administración pública central; </w:t>
      </w:r>
      <w:r>
        <w:rPr>
          <w:rFonts w:ascii="Arial" w:eastAsia="Arial" w:hAnsi="Arial" w:cs="Arial"/>
        </w:rPr>
        <w:t>39 son del ámbito de organismos desconcentrados, descentralizados, paraestatales y auxiliares, ocho son alcaldías, un sujeto obligado pertenece al Poder Judicial, dos al Poder Legislativo, dos son órganos autónomos, dos son partidos políticos y cinco sindi</w:t>
      </w:r>
      <w:r>
        <w:rPr>
          <w:rFonts w:ascii="Arial" w:eastAsia="Arial" w:hAnsi="Arial" w:cs="Arial"/>
        </w:rPr>
        <w:t>catos.</w:t>
      </w:r>
    </w:p>
    <w:p w14:paraId="2B8AC158" w14:textId="77777777" w:rsidR="00067C34" w:rsidRDefault="00067C34">
      <w:pPr>
        <w:pBdr>
          <w:top w:val="nil"/>
          <w:left w:val="nil"/>
          <w:bottom w:val="nil"/>
          <w:right w:val="nil"/>
          <w:between w:val="nil"/>
        </w:pBdr>
        <w:spacing w:line="259" w:lineRule="auto"/>
        <w:ind w:left="720"/>
        <w:rPr>
          <w:rFonts w:ascii="Arial" w:eastAsia="Arial" w:hAnsi="Arial" w:cs="Arial"/>
          <w:color w:val="000000"/>
        </w:rPr>
      </w:pPr>
    </w:p>
    <w:p w14:paraId="05281D25" w14:textId="77777777" w:rsidR="00067C34" w:rsidRDefault="00BA3CD1">
      <w:pPr>
        <w:numPr>
          <w:ilvl w:val="0"/>
          <w:numId w:val="4"/>
        </w:numPr>
        <w:pBdr>
          <w:top w:val="nil"/>
          <w:left w:val="nil"/>
          <w:bottom w:val="nil"/>
          <w:right w:val="nil"/>
          <w:between w:val="nil"/>
        </w:pBdr>
        <w:spacing w:line="360" w:lineRule="auto"/>
        <w:ind w:hanging="360"/>
        <w:jc w:val="both"/>
        <w:rPr>
          <w:rFonts w:ascii="Arial" w:eastAsia="Arial" w:hAnsi="Arial" w:cs="Arial"/>
          <w:color w:val="000000"/>
        </w:rPr>
      </w:pPr>
      <w:r>
        <w:rPr>
          <w:rFonts w:ascii="Arial" w:eastAsia="Arial" w:hAnsi="Arial" w:cs="Arial"/>
          <w:b/>
          <w:color w:val="000000"/>
        </w:rPr>
        <w:t>Incumplimiento parcial</w:t>
      </w:r>
      <w:r>
        <w:rPr>
          <w:rFonts w:ascii="Arial" w:eastAsia="Arial" w:hAnsi="Arial" w:cs="Arial"/>
          <w:color w:val="000000"/>
        </w:rPr>
        <w:t>, en este</w:t>
      </w:r>
      <w:r>
        <w:rPr>
          <w:rFonts w:ascii="Arial" w:eastAsia="Arial" w:hAnsi="Arial" w:cs="Arial"/>
        </w:rPr>
        <w:t xml:space="preserve"> grupo el índice global de obligaciones de transparencia es menor de 60 puntos y mayor que cero. En este nivel </w:t>
      </w:r>
      <w:r>
        <w:rPr>
          <w:rFonts w:ascii="Arial" w:eastAsia="Arial" w:hAnsi="Arial" w:cs="Arial"/>
          <w:color w:val="000000"/>
        </w:rPr>
        <w:t xml:space="preserve">puede haber </w:t>
      </w:r>
      <w:r>
        <w:rPr>
          <w:rFonts w:ascii="Arial" w:eastAsia="Arial" w:hAnsi="Arial" w:cs="Arial"/>
        </w:rPr>
        <w:t xml:space="preserve">sujetos obligados que solventaron algunas </w:t>
      </w:r>
      <w:r>
        <w:rPr>
          <w:rFonts w:ascii="Arial" w:eastAsia="Arial" w:hAnsi="Arial" w:cs="Arial"/>
          <w:color w:val="000000"/>
        </w:rPr>
        <w:t>recomendaciones y observaciones y mejoraron su c</w:t>
      </w:r>
      <w:r>
        <w:rPr>
          <w:rFonts w:ascii="Arial" w:eastAsia="Arial" w:hAnsi="Arial" w:cs="Arial"/>
        </w:rPr>
        <w:t>alif</w:t>
      </w:r>
      <w:r>
        <w:rPr>
          <w:rFonts w:ascii="Arial" w:eastAsia="Arial" w:hAnsi="Arial" w:cs="Arial"/>
        </w:rPr>
        <w:t>icación, pero no lo suficiente como para escalar al nivel de cumplimiento parcial,</w:t>
      </w:r>
      <w:r>
        <w:rPr>
          <w:rFonts w:ascii="Arial" w:eastAsia="Arial" w:hAnsi="Arial" w:cs="Arial"/>
          <w:color w:val="000000"/>
        </w:rPr>
        <w:t xml:space="preserve"> o bien, sujetos obligados que ya estaban es est</w:t>
      </w:r>
      <w:r>
        <w:rPr>
          <w:rFonts w:ascii="Arial" w:eastAsia="Arial" w:hAnsi="Arial" w:cs="Arial"/>
        </w:rPr>
        <w:t xml:space="preserve">e nivel de incumplimiento parcial y </w:t>
      </w:r>
      <w:r>
        <w:rPr>
          <w:rFonts w:ascii="Arial" w:eastAsia="Arial" w:hAnsi="Arial" w:cs="Arial"/>
          <w:color w:val="000000"/>
        </w:rPr>
        <w:t>que no se atendi</w:t>
      </w:r>
      <w:r>
        <w:rPr>
          <w:rFonts w:ascii="Arial" w:eastAsia="Arial" w:hAnsi="Arial" w:cs="Arial"/>
        </w:rPr>
        <w:t>ó a</w:t>
      </w:r>
      <w:r>
        <w:rPr>
          <w:rFonts w:ascii="Arial" w:eastAsia="Arial" w:hAnsi="Arial" w:cs="Arial"/>
          <w:color w:val="000000"/>
        </w:rPr>
        <w:t xml:space="preserve"> ninguna de las recomendaciones por lo que per</w:t>
      </w:r>
      <w:r>
        <w:rPr>
          <w:rFonts w:ascii="Arial" w:eastAsia="Arial" w:hAnsi="Arial" w:cs="Arial"/>
        </w:rPr>
        <w:t>manecen con el mismo punt</w:t>
      </w:r>
      <w:r>
        <w:rPr>
          <w:rFonts w:ascii="Arial" w:eastAsia="Arial" w:hAnsi="Arial" w:cs="Arial"/>
        </w:rPr>
        <w:t xml:space="preserve">aje que en la evaluación anterior. En este nivel están </w:t>
      </w:r>
      <w:r>
        <w:rPr>
          <w:rFonts w:ascii="Arial" w:eastAsia="Arial" w:hAnsi="Arial" w:cs="Arial"/>
          <w:b/>
        </w:rPr>
        <w:t>20</w:t>
      </w:r>
      <w:r>
        <w:rPr>
          <w:rFonts w:ascii="Arial" w:eastAsia="Arial" w:hAnsi="Arial" w:cs="Arial"/>
        </w:rPr>
        <w:t xml:space="preserve"> </w:t>
      </w:r>
      <w:r>
        <w:rPr>
          <w:rFonts w:ascii="Arial" w:eastAsia="Arial" w:hAnsi="Arial" w:cs="Arial"/>
          <w:b/>
        </w:rPr>
        <w:t>sujetos obligados:</w:t>
      </w:r>
      <w:r>
        <w:rPr>
          <w:rFonts w:ascii="Arial" w:eastAsia="Arial" w:hAnsi="Arial" w:cs="Arial"/>
        </w:rPr>
        <w:t xml:space="preserve"> </w:t>
      </w:r>
      <w:r>
        <w:rPr>
          <w:rFonts w:ascii="Arial" w:eastAsia="Arial" w:hAnsi="Arial" w:cs="Arial"/>
          <w:highlight w:val="white"/>
        </w:rPr>
        <w:t>cinco son</w:t>
      </w:r>
      <w:r>
        <w:rPr>
          <w:rFonts w:ascii="Arial" w:eastAsia="Arial" w:hAnsi="Arial" w:cs="Arial"/>
        </w:rPr>
        <w:t xml:space="preserve"> organismos desconcentrados, descentralizados, paraestatales y auxiliares</w:t>
      </w:r>
      <w:r>
        <w:rPr>
          <w:rFonts w:ascii="Arial" w:eastAsia="Arial" w:hAnsi="Arial" w:cs="Arial"/>
          <w:highlight w:val="white"/>
        </w:rPr>
        <w:t>; uno es órgano autónomo; un partido político y 13 sindicatos.</w:t>
      </w:r>
      <w:r>
        <w:rPr>
          <w:rFonts w:ascii="Arial" w:eastAsia="Arial" w:hAnsi="Arial" w:cs="Arial"/>
          <w:color w:val="000000"/>
        </w:rPr>
        <w:t xml:space="preserve"> </w:t>
      </w:r>
    </w:p>
    <w:p w14:paraId="6EF2D58D" w14:textId="77777777" w:rsidR="00067C34" w:rsidRDefault="00067C34">
      <w:pPr>
        <w:pBdr>
          <w:top w:val="nil"/>
          <w:left w:val="nil"/>
          <w:bottom w:val="nil"/>
          <w:right w:val="nil"/>
          <w:between w:val="nil"/>
        </w:pBdr>
        <w:spacing w:line="259" w:lineRule="auto"/>
        <w:ind w:left="720"/>
        <w:rPr>
          <w:rFonts w:ascii="Arial" w:eastAsia="Arial" w:hAnsi="Arial" w:cs="Arial"/>
          <w:color w:val="000000"/>
        </w:rPr>
      </w:pPr>
    </w:p>
    <w:p w14:paraId="74F77C81" w14:textId="77777777" w:rsidR="00067C34" w:rsidRDefault="00BA3CD1">
      <w:pPr>
        <w:numPr>
          <w:ilvl w:val="0"/>
          <w:numId w:val="4"/>
        </w:numPr>
        <w:pBdr>
          <w:top w:val="nil"/>
          <w:left w:val="nil"/>
          <w:bottom w:val="nil"/>
          <w:right w:val="nil"/>
          <w:between w:val="nil"/>
        </w:pBdr>
        <w:spacing w:after="160" w:line="360" w:lineRule="auto"/>
        <w:ind w:hanging="360"/>
        <w:jc w:val="both"/>
        <w:rPr>
          <w:rFonts w:ascii="Arial" w:eastAsia="Arial" w:hAnsi="Arial" w:cs="Arial"/>
          <w:color w:val="000000"/>
        </w:rPr>
      </w:pPr>
      <w:r>
        <w:rPr>
          <w:rFonts w:ascii="Arial" w:eastAsia="Arial" w:hAnsi="Arial" w:cs="Arial"/>
          <w:b/>
          <w:color w:val="000000"/>
        </w:rPr>
        <w:t>Incumplimiento total</w:t>
      </w:r>
      <w:r>
        <w:rPr>
          <w:rFonts w:ascii="Arial" w:eastAsia="Arial" w:hAnsi="Arial" w:cs="Arial"/>
          <w:color w:val="000000"/>
        </w:rPr>
        <w:t xml:space="preserve">, es decir, </w:t>
      </w:r>
      <w:r>
        <w:rPr>
          <w:rFonts w:ascii="Arial" w:eastAsia="Arial" w:hAnsi="Arial" w:cs="Arial"/>
        </w:rPr>
        <w:t>con un</w:t>
      </w:r>
      <w:r>
        <w:rPr>
          <w:rFonts w:ascii="Arial" w:eastAsia="Arial" w:hAnsi="Arial" w:cs="Arial"/>
          <w:color w:val="000000"/>
        </w:rPr>
        <w:t xml:space="preserve"> IGOT igual a cero por carecer de informac</w:t>
      </w:r>
      <w:r>
        <w:rPr>
          <w:rFonts w:ascii="Arial" w:eastAsia="Arial" w:hAnsi="Arial" w:cs="Arial"/>
        </w:rPr>
        <w:t xml:space="preserve">ión publicada tanto en la Plataforma Nacional de Transparencia como en el portal institucional o bien, por carecer de él. Se trata de sujetos obligados que </w:t>
      </w:r>
      <w:r>
        <w:rPr>
          <w:rFonts w:ascii="Arial" w:eastAsia="Arial" w:hAnsi="Arial" w:cs="Arial"/>
          <w:color w:val="000000"/>
        </w:rPr>
        <w:t>ya estaban en est</w:t>
      </w:r>
      <w:r>
        <w:rPr>
          <w:rFonts w:ascii="Arial" w:eastAsia="Arial" w:hAnsi="Arial" w:cs="Arial"/>
        </w:rPr>
        <w:t>e n</w:t>
      </w:r>
      <w:r>
        <w:rPr>
          <w:rFonts w:ascii="Arial" w:eastAsia="Arial" w:hAnsi="Arial" w:cs="Arial"/>
        </w:rPr>
        <w:t xml:space="preserve">ivel de incumplimiento total </w:t>
      </w:r>
      <w:r>
        <w:rPr>
          <w:rFonts w:ascii="Arial" w:eastAsia="Arial" w:hAnsi="Arial" w:cs="Arial"/>
          <w:color w:val="000000"/>
        </w:rPr>
        <w:t xml:space="preserve">y no atendieron </w:t>
      </w:r>
      <w:r>
        <w:rPr>
          <w:rFonts w:ascii="Arial" w:eastAsia="Arial" w:hAnsi="Arial" w:cs="Arial"/>
        </w:rPr>
        <w:t xml:space="preserve">ninguna de </w:t>
      </w:r>
      <w:r>
        <w:rPr>
          <w:rFonts w:ascii="Arial" w:eastAsia="Arial" w:hAnsi="Arial" w:cs="Arial"/>
          <w:color w:val="000000"/>
        </w:rPr>
        <w:t xml:space="preserve">las recomendaciones y observaciones emitidas. </w:t>
      </w:r>
      <w:r>
        <w:rPr>
          <w:rFonts w:ascii="Arial" w:eastAsia="Arial" w:hAnsi="Arial" w:cs="Arial"/>
        </w:rPr>
        <w:t>S</w:t>
      </w:r>
      <w:r>
        <w:rPr>
          <w:rFonts w:ascii="Arial" w:eastAsia="Arial" w:hAnsi="Arial" w:cs="Arial"/>
          <w:color w:val="000000"/>
        </w:rPr>
        <w:t>on 7 sujetos obli</w:t>
      </w:r>
      <w:r>
        <w:rPr>
          <w:rFonts w:ascii="Arial" w:eastAsia="Arial" w:hAnsi="Arial" w:cs="Arial"/>
        </w:rPr>
        <w:t>gados: un fideicomiso, tres partidos políticos que perdieron el registro en 2018 y tres sindicatos.</w:t>
      </w:r>
      <w:r>
        <w:rPr>
          <w:rFonts w:ascii="Arial" w:eastAsia="Arial" w:hAnsi="Arial" w:cs="Arial"/>
          <w:color w:val="000000"/>
        </w:rPr>
        <w:t xml:space="preserve"> </w:t>
      </w:r>
    </w:p>
    <w:p w14:paraId="55704B7C" w14:textId="77777777" w:rsidR="00067C34" w:rsidRDefault="00BA3CD1">
      <w:pPr>
        <w:spacing w:line="360" w:lineRule="auto"/>
        <w:jc w:val="both"/>
        <w:rPr>
          <w:rFonts w:ascii="Arial" w:eastAsia="Arial" w:hAnsi="Arial" w:cs="Arial"/>
        </w:rPr>
      </w:pPr>
      <w:r>
        <w:rPr>
          <w:rFonts w:ascii="Arial" w:eastAsia="Arial" w:hAnsi="Arial" w:cs="Arial"/>
        </w:rPr>
        <w:t>A continuación, se presenta una tab</w:t>
      </w:r>
      <w:r>
        <w:rPr>
          <w:rFonts w:ascii="Arial" w:eastAsia="Arial" w:hAnsi="Arial" w:cs="Arial"/>
        </w:rPr>
        <w:t>la que desglosa los resultados antes referidos por nivel de cumplimiento y por ámbito:</w:t>
      </w:r>
    </w:p>
    <w:p w14:paraId="500CC02B" w14:textId="77777777" w:rsidR="00067C34" w:rsidRDefault="00BA3CD1">
      <w:pPr>
        <w:spacing w:before="200"/>
        <w:jc w:val="both"/>
        <w:rPr>
          <w:rFonts w:ascii="Arial" w:eastAsia="Arial" w:hAnsi="Arial" w:cs="Arial"/>
          <w:b/>
        </w:rPr>
      </w:pPr>
      <w:r>
        <w:rPr>
          <w:rFonts w:ascii="Arial" w:eastAsia="Arial" w:hAnsi="Arial" w:cs="Arial"/>
          <w:b/>
        </w:rPr>
        <w:t>Desglose de sujetos obligados por nivel de cumplimiento y por ámbito</w:t>
      </w:r>
    </w:p>
    <w:tbl>
      <w:tblPr>
        <w:tblStyle w:val="afd"/>
        <w:tblW w:w="94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5"/>
        <w:gridCol w:w="1000"/>
        <w:gridCol w:w="1297"/>
        <w:gridCol w:w="1677"/>
        <w:gridCol w:w="1560"/>
        <w:gridCol w:w="1419"/>
      </w:tblGrid>
      <w:tr w:rsidR="00067C34" w14:paraId="145E1F93" w14:textId="77777777">
        <w:trPr>
          <w:trHeight w:val="615"/>
        </w:trPr>
        <w:tc>
          <w:tcPr>
            <w:tcW w:w="2495" w:type="dxa"/>
            <w:shd w:val="clear" w:color="auto" w:fill="DCE6F1"/>
            <w:vAlign w:val="center"/>
          </w:tcPr>
          <w:p w14:paraId="14350F96"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Ámbitos de gobierno</w:t>
            </w:r>
          </w:p>
        </w:tc>
        <w:tc>
          <w:tcPr>
            <w:tcW w:w="1000" w:type="dxa"/>
            <w:shd w:val="clear" w:color="auto" w:fill="DCE6F1"/>
            <w:vAlign w:val="center"/>
          </w:tcPr>
          <w:p w14:paraId="52A3986D"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Número de sujetos obligados</w:t>
            </w:r>
          </w:p>
        </w:tc>
        <w:tc>
          <w:tcPr>
            <w:tcW w:w="1297" w:type="dxa"/>
            <w:shd w:val="clear" w:color="auto" w:fill="DCE6F1"/>
            <w:vAlign w:val="center"/>
          </w:tcPr>
          <w:p w14:paraId="691B6A82"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Cumplimiento total</w:t>
            </w:r>
          </w:p>
          <w:p w14:paraId="5BD1E00E"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(100 puntos)</w:t>
            </w:r>
          </w:p>
        </w:tc>
        <w:tc>
          <w:tcPr>
            <w:tcW w:w="1677" w:type="dxa"/>
            <w:shd w:val="clear" w:color="auto" w:fill="DCE6F1"/>
            <w:vAlign w:val="center"/>
          </w:tcPr>
          <w:p w14:paraId="1D8D6955"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Cumplimiento parcial</w:t>
            </w:r>
          </w:p>
          <w:p w14:paraId="550E991A"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(60 a 99.99 puntos)</w:t>
            </w:r>
          </w:p>
        </w:tc>
        <w:tc>
          <w:tcPr>
            <w:tcW w:w="1560" w:type="dxa"/>
            <w:shd w:val="clear" w:color="auto" w:fill="DCE6F1"/>
            <w:vAlign w:val="center"/>
          </w:tcPr>
          <w:p w14:paraId="2C144F44"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Incumplimiento parcial</w:t>
            </w:r>
          </w:p>
          <w:p w14:paraId="2231AEDC"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(1 a 59.99 puntos)</w:t>
            </w:r>
          </w:p>
        </w:tc>
        <w:tc>
          <w:tcPr>
            <w:tcW w:w="1419" w:type="dxa"/>
            <w:shd w:val="clear" w:color="auto" w:fill="DCE6F1"/>
            <w:vAlign w:val="center"/>
          </w:tcPr>
          <w:p w14:paraId="670DE884"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Incumplimiento total</w:t>
            </w:r>
          </w:p>
          <w:p w14:paraId="1B9DEB71" w14:textId="77777777" w:rsidR="00067C34" w:rsidRDefault="00BA3CD1">
            <w:pPr>
              <w:widowControl w:val="0"/>
              <w:jc w:val="center"/>
              <w:rPr>
                <w:rFonts w:ascii="Arial" w:eastAsia="Arial" w:hAnsi="Arial" w:cs="Arial"/>
                <w:b/>
                <w:sz w:val="16"/>
                <w:szCs w:val="16"/>
              </w:rPr>
            </w:pPr>
            <w:r>
              <w:rPr>
                <w:rFonts w:ascii="Arial" w:eastAsia="Arial" w:hAnsi="Arial" w:cs="Arial"/>
                <w:b/>
                <w:sz w:val="16"/>
                <w:szCs w:val="16"/>
              </w:rPr>
              <w:t>(0 puntos)</w:t>
            </w:r>
          </w:p>
        </w:tc>
      </w:tr>
      <w:tr w:rsidR="00067C34" w14:paraId="67FB5729" w14:textId="77777777">
        <w:trPr>
          <w:trHeight w:val="488"/>
        </w:trPr>
        <w:tc>
          <w:tcPr>
            <w:tcW w:w="2495" w:type="dxa"/>
            <w:shd w:val="clear" w:color="auto" w:fill="auto"/>
            <w:vAlign w:val="bottom"/>
          </w:tcPr>
          <w:p w14:paraId="79EE15DA"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Administración Pública Central</w:t>
            </w:r>
          </w:p>
        </w:tc>
        <w:tc>
          <w:tcPr>
            <w:tcW w:w="1000" w:type="dxa"/>
            <w:vAlign w:val="bottom"/>
          </w:tcPr>
          <w:p w14:paraId="3DC94907"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9</w:t>
            </w:r>
          </w:p>
        </w:tc>
        <w:tc>
          <w:tcPr>
            <w:tcW w:w="1297" w:type="dxa"/>
            <w:vAlign w:val="bottom"/>
          </w:tcPr>
          <w:p w14:paraId="6E035CB2"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5</w:t>
            </w:r>
          </w:p>
        </w:tc>
        <w:tc>
          <w:tcPr>
            <w:tcW w:w="1677" w:type="dxa"/>
            <w:shd w:val="clear" w:color="auto" w:fill="auto"/>
            <w:vAlign w:val="bottom"/>
          </w:tcPr>
          <w:p w14:paraId="1207F9A0"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4</w:t>
            </w:r>
          </w:p>
        </w:tc>
        <w:tc>
          <w:tcPr>
            <w:tcW w:w="1560" w:type="dxa"/>
            <w:shd w:val="clear" w:color="auto" w:fill="auto"/>
            <w:vAlign w:val="bottom"/>
          </w:tcPr>
          <w:p w14:paraId="57002466"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c>
          <w:tcPr>
            <w:tcW w:w="1419" w:type="dxa"/>
            <w:shd w:val="clear" w:color="auto" w:fill="auto"/>
            <w:vAlign w:val="bottom"/>
          </w:tcPr>
          <w:p w14:paraId="3B813C84"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r>
      <w:tr w:rsidR="00067C34" w14:paraId="5473EC46" w14:textId="77777777">
        <w:trPr>
          <w:trHeight w:val="176"/>
        </w:trPr>
        <w:tc>
          <w:tcPr>
            <w:tcW w:w="2495" w:type="dxa"/>
            <w:shd w:val="clear" w:color="auto" w:fill="auto"/>
            <w:vAlign w:val="bottom"/>
          </w:tcPr>
          <w:p w14:paraId="304BBD7A"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Alcaldías</w:t>
            </w:r>
          </w:p>
        </w:tc>
        <w:tc>
          <w:tcPr>
            <w:tcW w:w="1000" w:type="dxa"/>
            <w:vAlign w:val="bottom"/>
          </w:tcPr>
          <w:p w14:paraId="64B0B547"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11</w:t>
            </w:r>
          </w:p>
        </w:tc>
        <w:tc>
          <w:tcPr>
            <w:tcW w:w="1297" w:type="dxa"/>
            <w:vAlign w:val="bottom"/>
          </w:tcPr>
          <w:p w14:paraId="6A275B54"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3</w:t>
            </w:r>
          </w:p>
        </w:tc>
        <w:tc>
          <w:tcPr>
            <w:tcW w:w="1677" w:type="dxa"/>
            <w:shd w:val="clear" w:color="auto" w:fill="auto"/>
            <w:vAlign w:val="bottom"/>
          </w:tcPr>
          <w:p w14:paraId="02E78CFF"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8</w:t>
            </w:r>
          </w:p>
        </w:tc>
        <w:tc>
          <w:tcPr>
            <w:tcW w:w="1560" w:type="dxa"/>
            <w:shd w:val="clear" w:color="auto" w:fill="auto"/>
            <w:vAlign w:val="bottom"/>
          </w:tcPr>
          <w:p w14:paraId="0818C032"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c>
          <w:tcPr>
            <w:tcW w:w="1419" w:type="dxa"/>
            <w:shd w:val="clear" w:color="auto" w:fill="auto"/>
            <w:vAlign w:val="bottom"/>
          </w:tcPr>
          <w:p w14:paraId="3892026D"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r>
      <w:tr w:rsidR="00067C34" w14:paraId="77E6A85D" w14:textId="77777777">
        <w:trPr>
          <w:trHeight w:val="884"/>
        </w:trPr>
        <w:tc>
          <w:tcPr>
            <w:tcW w:w="2495" w:type="dxa"/>
            <w:shd w:val="clear" w:color="auto" w:fill="auto"/>
            <w:vAlign w:val="bottom"/>
          </w:tcPr>
          <w:p w14:paraId="7E3C1E6E"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Desconcentrados y Paraestatales (Descentralizados, Auxiliares, Fondos y Fideicomisos)</w:t>
            </w:r>
          </w:p>
        </w:tc>
        <w:tc>
          <w:tcPr>
            <w:tcW w:w="1000" w:type="dxa"/>
            <w:vAlign w:val="bottom"/>
          </w:tcPr>
          <w:p w14:paraId="63685C78"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59</w:t>
            </w:r>
          </w:p>
        </w:tc>
        <w:tc>
          <w:tcPr>
            <w:tcW w:w="1297" w:type="dxa"/>
            <w:vAlign w:val="bottom"/>
          </w:tcPr>
          <w:p w14:paraId="35B040D6"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14</w:t>
            </w:r>
          </w:p>
        </w:tc>
        <w:tc>
          <w:tcPr>
            <w:tcW w:w="1677" w:type="dxa"/>
            <w:shd w:val="clear" w:color="auto" w:fill="auto"/>
            <w:vAlign w:val="bottom"/>
          </w:tcPr>
          <w:p w14:paraId="45B41208"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39</w:t>
            </w:r>
          </w:p>
        </w:tc>
        <w:tc>
          <w:tcPr>
            <w:tcW w:w="1560" w:type="dxa"/>
            <w:shd w:val="clear" w:color="auto" w:fill="auto"/>
            <w:vAlign w:val="bottom"/>
          </w:tcPr>
          <w:p w14:paraId="282490E7"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5</w:t>
            </w:r>
          </w:p>
        </w:tc>
        <w:tc>
          <w:tcPr>
            <w:tcW w:w="1419" w:type="dxa"/>
            <w:shd w:val="clear" w:color="auto" w:fill="auto"/>
            <w:vAlign w:val="bottom"/>
          </w:tcPr>
          <w:p w14:paraId="1DD7B926"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w:t>
            </w:r>
          </w:p>
        </w:tc>
      </w:tr>
      <w:tr w:rsidR="00067C34" w14:paraId="35C690AB" w14:textId="77777777">
        <w:trPr>
          <w:trHeight w:val="105"/>
        </w:trPr>
        <w:tc>
          <w:tcPr>
            <w:tcW w:w="2495" w:type="dxa"/>
            <w:shd w:val="clear" w:color="auto" w:fill="auto"/>
            <w:vAlign w:val="bottom"/>
          </w:tcPr>
          <w:p w14:paraId="66D5F583"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Órganos Autónomos</w:t>
            </w:r>
          </w:p>
        </w:tc>
        <w:tc>
          <w:tcPr>
            <w:tcW w:w="1000" w:type="dxa"/>
            <w:vAlign w:val="bottom"/>
          </w:tcPr>
          <w:p w14:paraId="39389B00"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5</w:t>
            </w:r>
          </w:p>
        </w:tc>
        <w:tc>
          <w:tcPr>
            <w:tcW w:w="1297" w:type="dxa"/>
            <w:vAlign w:val="bottom"/>
          </w:tcPr>
          <w:p w14:paraId="4B9F24DE"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w:t>
            </w:r>
          </w:p>
        </w:tc>
        <w:tc>
          <w:tcPr>
            <w:tcW w:w="1677" w:type="dxa"/>
            <w:shd w:val="clear" w:color="auto" w:fill="auto"/>
            <w:vAlign w:val="bottom"/>
          </w:tcPr>
          <w:p w14:paraId="335638A2"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w:t>
            </w:r>
          </w:p>
        </w:tc>
        <w:tc>
          <w:tcPr>
            <w:tcW w:w="1560" w:type="dxa"/>
            <w:shd w:val="clear" w:color="auto" w:fill="auto"/>
            <w:vAlign w:val="bottom"/>
          </w:tcPr>
          <w:p w14:paraId="0DC76C7B"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w:t>
            </w:r>
          </w:p>
        </w:tc>
        <w:tc>
          <w:tcPr>
            <w:tcW w:w="1419" w:type="dxa"/>
            <w:shd w:val="clear" w:color="auto" w:fill="auto"/>
            <w:vAlign w:val="bottom"/>
          </w:tcPr>
          <w:p w14:paraId="3699650E"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r>
      <w:tr w:rsidR="00067C34" w14:paraId="122AC3A7" w14:textId="77777777">
        <w:trPr>
          <w:trHeight w:val="105"/>
        </w:trPr>
        <w:tc>
          <w:tcPr>
            <w:tcW w:w="2495" w:type="dxa"/>
            <w:shd w:val="clear" w:color="auto" w:fill="auto"/>
            <w:vAlign w:val="bottom"/>
          </w:tcPr>
          <w:p w14:paraId="1DA8CE02"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Partidos Políticos</w:t>
            </w:r>
          </w:p>
        </w:tc>
        <w:tc>
          <w:tcPr>
            <w:tcW w:w="1000" w:type="dxa"/>
            <w:vAlign w:val="bottom"/>
          </w:tcPr>
          <w:p w14:paraId="6FF3ED0E"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10</w:t>
            </w:r>
          </w:p>
        </w:tc>
        <w:tc>
          <w:tcPr>
            <w:tcW w:w="1297" w:type="dxa"/>
            <w:vAlign w:val="bottom"/>
          </w:tcPr>
          <w:p w14:paraId="7BDA131D"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4</w:t>
            </w:r>
          </w:p>
        </w:tc>
        <w:tc>
          <w:tcPr>
            <w:tcW w:w="1677" w:type="dxa"/>
            <w:shd w:val="clear" w:color="auto" w:fill="auto"/>
            <w:vAlign w:val="bottom"/>
          </w:tcPr>
          <w:p w14:paraId="781C486D"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w:t>
            </w:r>
          </w:p>
        </w:tc>
        <w:tc>
          <w:tcPr>
            <w:tcW w:w="1560" w:type="dxa"/>
            <w:shd w:val="clear" w:color="auto" w:fill="auto"/>
            <w:vAlign w:val="bottom"/>
          </w:tcPr>
          <w:p w14:paraId="70137867"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w:t>
            </w:r>
          </w:p>
        </w:tc>
        <w:tc>
          <w:tcPr>
            <w:tcW w:w="1419" w:type="dxa"/>
            <w:shd w:val="clear" w:color="auto" w:fill="auto"/>
            <w:vAlign w:val="bottom"/>
          </w:tcPr>
          <w:p w14:paraId="35FEFC88"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3</w:t>
            </w:r>
          </w:p>
        </w:tc>
      </w:tr>
      <w:tr w:rsidR="00067C34" w14:paraId="2E7E8A57" w14:textId="77777777">
        <w:trPr>
          <w:trHeight w:val="105"/>
        </w:trPr>
        <w:tc>
          <w:tcPr>
            <w:tcW w:w="2495" w:type="dxa"/>
            <w:shd w:val="clear" w:color="auto" w:fill="auto"/>
            <w:vAlign w:val="bottom"/>
          </w:tcPr>
          <w:p w14:paraId="0DA093C5"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Poder Judicial</w:t>
            </w:r>
          </w:p>
        </w:tc>
        <w:tc>
          <w:tcPr>
            <w:tcW w:w="1000" w:type="dxa"/>
            <w:vAlign w:val="bottom"/>
          </w:tcPr>
          <w:p w14:paraId="6451A596"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w:t>
            </w:r>
          </w:p>
        </w:tc>
        <w:tc>
          <w:tcPr>
            <w:tcW w:w="1297" w:type="dxa"/>
            <w:vAlign w:val="bottom"/>
          </w:tcPr>
          <w:p w14:paraId="2B4A4E19"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w:t>
            </w:r>
          </w:p>
        </w:tc>
        <w:tc>
          <w:tcPr>
            <w:tcW w:w="1677" w:type="dxa"/>
            <w:shd w:val="clear" w:color="auto" w:fill="auto"/>
            <w:vAlign w:val="bottom"/>
          </w:tcPr>
          <w:p w14:paraId="5CA2F06B"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w:t>
            </w:r>
          </w:p>
        </w:tc>
        <w:tc>
          <w:tcPr>
            <w:tcW w:w="1560" w:type="dxa"/>
            <w:shd w:val="clear" w:color="auto" w:fill="auto"/>
            <w:vAlign w:val="bottom"/>
          </w:tcPr>
          <w:p w14:paraId="71EE22D1"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c>
          <w:tcPr>
            <w:tcW w:w="1419" w:type="dxa"/>
            <w:shd w:val="clear" w:color="auto" w:fill="auto"/>
            <w:vAlign w:val="bottom"/>
          </w:tcPr>
          <w:p w14:paraId="57BAA5FC"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r>
      <w:tr w:rsidR="00067C34" w14:paraId="5DBA5892" w14:textId="77777777">
        <w:trPr>
          <w:trHeight w:val="105"/>
        </w:trPr>
        <w:tc>
          <w:tcPr>
            <w:tcW w:w="2495" w:type="dxa"/>
            <w:shd w:val="clear" w:color="auto" w:fill="auto"/>
            <w:vAlign w:val="bottom"/>
          </w:tcPr>
          <w:p w14:paraId="478E049F"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Poder Legislativo</w:t>
            </w:r>
          </w:p>
        </w:tc>
        <w:tc>
          <w:tcPr>
            <w:tcW w:w="1000" w:type="dxa"/>
            <w:vAlign w:val="bottom"/>
          </w:tcPr>
          <w:p w14:paraId="2E541983"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w:t>
            </w:r>
          </w:p>
        </w:tc>
        <w:tc>
          <w:tcPr>
            <w:tcW w:w="1297" w:type="dxa"/>
            <w:vAlign w:val="bottom"/>
          </w:tcPr>
          <w:p w14:paraId="6B637095"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c>
          <w:tcPr>
            <w:tcW w:w="1677" w:type="dxa"/>
            <w:shd w:val="clear" w:color="auto" w:fill="auto"/>
            <w:vAlign w:val="bottom"/>
          </w:tcPr>
          <w:p w14:paraId="60E2F498"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w:t>
            </w:r>
          </w:p>
        </w:tc>
        <w:tc>
          <w:tcPr>
            <w:tcW w:w="1560" w:type="dxa"/>
            <w:shd w:val="clear" w:color="auto" w:fill="auto"/>
            <w:vAlign w:val="bottom"/>
          </w:tcPr>
          <w:p w14:paraId="7DCE5DC8"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c>
          <w:tcPr>
            <w:tcW w:w="1419" w:type="dxa"/>
            <w:shd w:val="clear" w:color="auto" w:fill="auto"/>
            <w:vAlign w:val="bottom"/>
          </w:tcPr>
          <w:p w14:paraId="70F0B771"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r>
      <w:tr w:rsidR="00067C34" w14:paraId="66729A3E" w14:textId="77777777">
        <w:trPr>
          <w:trHeight w:val="150"/>
        </w:trPr>
        <w:tc>
          <w:tcPr>
            <w:tcW w:w="2495" w:type="dxa"/>
            <w:shd w:val="clear" w:color="auto" w:fill="auto"/>
            <w:vAlign w:val="bottom"/>
          </w:tcPr>
          <w:p w14:paraId="50E4AFE1" w14:textId="77777777" w:rsidR="00067C34" w:rsidRDefault="00BA3CD1">
            <w:pPr>
              <w:keepLines/>
              <w:widowControl w:val="0"/>
              <w:rPr>
                <w:rFonts w:ascii="Arial" w:eastAsia="Arial" w:hAnsi="Arial" w:cs="Arial"/>
                <w:sz w:val="18"/>
                <w:szCs w:val="18"/>
              </w:rPr>
            </w:pPr>
            <w:r>
              <w:rPr>
                <w:rFonts w:ascii="Arial" w:eastAsia="Arial" w:hAnsi="Arial" w:cs="Arial"/>
                <w:sz w:val="18"/>
                <w:szCs w:val="18"/>
              </w:rPr>
              <w:t>Sindicatos</w:t>
            </w:r>
          </w:p>
        </w:tc>
        <w:tc>
          <w:tcPr>
            <w:tcW w:w="1000" w:type="dxa"/>
            <w:vAlign w:val="bottom"/>
          </w:tcPr>
          <w:p w14:paraId="703C3895"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21</w:t>
            </w:r>
          </w:p>
        </w:tc>
        <w:tc>
          <w:tcPr>
            <w:tcW w:w="1297" w:type="dxa"/>
            <w:vAlign w:val="bottom"/>
          </w:tcPr>
          <w:p w14:paraId="515390E8"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0</w:t>
            </w:r>
          </w:p>
        </w:tc>
        <w:tc>
          <w:tcPr>
            <w:tcW w:w="1677" w:type="dxa"/>
            <w:shd w:val="clear" w:color="auto" w:fill="auto"/>
            <w:vAlign w:val="bottom"/>
          </w:tcPr>
          <w:p w14:paraId="0DEAF9F6"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5</w:t>
            </w:r>
          </w:p>
        </w:tc>
        <w:tc>
          <w:tcPr>
            <w:tcW w:w="1560" w:type="dxa"/>
            <w:shd w:val="clear" w:color="auto" w:fill="auto"/>
            <w:vAlign w:val="bottom"/>
          </w:tcPr>
          <w:p w14:paraId="0A841881"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12</w:t>
            </w:r>
          </w:p>
        </w:tc>
        <w:tc>
          <w:tcPr>
            <w:tcW w:w="1419" w:type="dxa"/>
            <w:shd w:val="clear" w:color="auto" w:fill="auto"/>
            <w:vAlign w:val="bottom"/>
          </w:tcPr>
          <w:p w14:paraId="08ACC0F1" w14:textId="77777777" w:rsidR="00067C34" w:rsidRDefault="00BA3CD1">
            <w:pPr>
              <w:keepLines/>
              <w:widowControl w:val="0"/>
              <w:jc w:val="center"/>
              <w:rPr>
                <w:rFonts w:ascii="Arial" w:eastAsia="Arial" w:hAnsi="Arial" w:cs="Arial"/>
                <w:sz w:val="18"/>
                <w:szCs w:val="18"/>
              </w:rPr>
            </w:pPr>
            <w:r>
              <w:rPr>
                <w:rFonts w:ascii="Arial" w:eastAsia="Arial" w:hAnsi="Arial" w:cs="Arial"/>
                <w:sz w:val="18"/>
                <w:szCs w:val="18"/>
              </w:rPr>
              <w:t>4</w:t>
            </w:r>
          </w:p>
        </w:tc>
      </w:tr>
      <w:tr w:rsidR="00067C34" w14:paraId="4F1F5185" w14:textId="77777777">
        <w:trPr>
          <w:trHeight w:val="105"/>
        </w:trPr>
        <w:tc>
          <w:tcPr>
            <w:tcW w:w="2495" w:type="dxa"/>
            <w:shd w:val="clear" w:color="auto" w:fill="DCE6F1"/>
            <w:vAlign w:val="bottom"/>
          </w:tcPr>
          <w:p w14:paraId="55941B4F" w14:textId="77777777" w:rsidR="00067C34" w:rsidRDefault="00BA3CD1">
            <w:pPr>
              <w:keepLines/>
              <w:widowControl w:val="0"/>
              <w:rPr>
                <w:rFonts w:ascii="Arial" w:eastAsia="Arial" w:hAnsi="Arial" w:cs="Arial"/>
                <w:b/>
                <w:sz w:val="18"/>
                <w:szCs w:val="18"/>
              </w:rPr>
            </w:pPr>
            <w:r>
              <w:rPr>
                <w:rFonts w:ascii="Arial" w:eastAsia="Arial" w:hAnsi="Arial" w:cs="Arial"/>
                <w:b/>
                <w:sz w:val="18"/>
                <w:szCs w:val="18"/>
              </w:rPr>
              <w:t>Total general</w:t>
            </w:r>
          </w:p>
        </w:tc>
        <w:tc>
          <w:tcPr>
            <w:tcW w:w="1000" w:type="dxa"/>
            <w:shd w:val="clear" w:color="auto" w:fill="DCE6F1"/>
            <w:vAlign w:val="bottom"/>
          </w:tcPr>
          <w:p w14:paraId="2DE876EC" w14:textId="77777777" w:rsidR="00067C34" w:rsidRDefault="00BA3CD1">
            <w:pPr>
              <w:keepLines/>
              <w:widowControl w:val="0"/>
              <w:jc w:val="center"/>
              <w:rPr>
                <w:rFonts w:ascii="Arial" w:eastAsia="Arial" w:hAnsi="Arial" w:cs="Arial"/>
                <w:b/>
                <w:sz w:val="18"/>
                <w:szCs w:val="18"/>
              </w:rPr>
            </w:pPr>
            <w:r>
              <w:rPr>
                <w:rFonts w:ascii="Arial" w:eastAsia="Arial" w:hAnsi="Arial" w:cs="Arial"/>
                <w:b/>
                <w:sz w:val="18"/>
                <w:szCs w:val="18"/>
              </w:rPr>
              <w:t>119</w:t>
            </w:r>
          </w:p>
        </w:tc>
        <w:tc>
          <w:tcPr>
            <w:tcW w:w="1297" w:type="dxa"/>
            <w:shd w:val="clear" w:color="auto" w:fill="DCE6F1"/>
            <w:vAlign w:val="bottom"/>
          </w:tcPr>
          <w:p w14:paraId="4A2711AD" w14:textId="77777777" w:rsidR="00067C34" w:rsidRDefault="00BA3CD1">
            <w:pPr>
              <w:keepLines/>
              <w:widowControl w:val="0"/>
              <w:jc w:val="center"/>
              <w:rPr>
                <w:rFonts w:ascii="Arial" w:eastAsia="Arial" w:hAnsi="Arial" w:cs="Arial"/>
                <w:b/>
                <w:sz w:val="18"/>
                <w:szCs w:val="18"/>
              </w:rPr>
            </w:pPr>
            <w:r>
              <w:rPr>
                <w:rFonts w:ascii="Arial" w:eastAsia="Arial" w:hAnsi="Arial" w:cs="Arial"/>
                <w:b/>
                <w:sz w:val="18"/>
                <w:szCs w:val="18"/>
              </w:rPr>
              <w:t>29</w:t>
            </w:r>
          </w:p>
        </w:tc>
        <w:tc>
          <w:tcPr>
            <w:tcW w:w="1677" w:type="dxa"/>
            <w:shd w:val="clear" w:color="auto" w:fill="DCE6F1"/>
            <w:vAlign w:val="bottom"/>
          </w:tcPr>
          <w:p w14:paraId="57DE00CC" w14:textId="77777777" w:rsidR="00067C34" w:rsidRDefault="00BA3CD1">
            <w:pPr>
              <w:keepLines/>
              <w:widowControl w:val="0"/>
              <w:jc w:val="center"/>
              <w:rPr>
                <w:rFonts w:ascii="Arial" w:eastAsia="Arial" w:hAnsi="Arial" w:cs="Arial"/>
                <w:b/>
                <w:sz w:val="18"/>
                <w:szCs w:val="18"/>
              </w:rPr>
            </w:pPr>
            <w:r>
              <w:rPr>
                <w:rFonts w:ascii="Arial" w:eastAsia="Arial" w:hAnsi="Arial" w:cs="Arial"/>
                <w:b/>
                <w:sz w:val="18"/>
                <w:szCs w:val="18"/>
              </w:rPr>
              <w:t>63</w:t>
            </w:r>
          </w:p>
        </w:tc>
        <w:tc>
          <w:tcPr>
            <w:tcW w:w="1560" w:type="dxa"/>
            <w:shd w:val="clear" w:color="auto" w:fill="DCE6F1"/>
            <w:vAlign w:val="bottom"/>
          </w:tcPr>
          <w:p w14:paraId="7AD181F9" w14:textId="77777777" w:rsidR="00067C34" w:rsidRDefault="00BA3CD1">
            <w:pPr>
              <w:keepLines/>
              <w:widowControl w:val="0"/>
              <w:jc w:val="center"/>
              <w:rPr>
                <w:rFonts w:ascii="Arial" w:eastAsia="Arial" w:hAnsi="Arial" w:cs="Arial"/>
                <w:b/>
                <w:sz w:val="18"/>
                <w:szCs w:val="18"/>
              </w:rPr>
            </w:pPr>
            <w:r>
              <w:rPr>
                <w:rFonts w:ascii="Arial" w:eastAsia="Arial" w:hAnsi="Arial" w:cs="Arial"/>
                <w:b/>
                <w:sz w:val="18"/>
                <w:szCs w:val="18"/>
              </w:rPr>
              <w:t>19</w:t>
            </w:r>
          </w:p>
        </w:tc>
        <w:tc>
          <w:tcPr>
            <w:tcW w:w="1419" w:type="dxa"/>
            <w:shd w:val="clear" w:color="auto" w:fill="DCE6F1"/>
            <w:vAlign w:val="bottom"/>
          </w:tcPr>
          <w:p w14:paraId="527434ED" w14:textId="77777777" w:rsidR="00067C34" w:rsidRDefault="00BA3CD1">
            <w:pPr>
              <w:keepLines/>
              <w:widowControl w:val="0"/>
              <w:jc w:val="center"/>
              <w:rPr>
                <w:rFonts w:ascii="Arial" w:eastAsia="Arial" w:hAnsi="Arial" w:cs="Arial"/>
                <w:b/>
                <w:sz w:val="18"/>
                <w:szCs w:val="18"/>
              </w:rPr>
            </w:pPr>
            <w:r>
              <w:rPr>
                <w:rFonts w:ascii="Arial" w:eastAsia="Arial" w:hAnsi="Arial" w:cs="Arial"/>
                <w:b/>
                <w:sz w:val="18"/>
                <w:szCs w:val="18"/>
              </w:rPr>
              <w:t>8</w:t>
            </w:r>
          </w:p>
        </w:tc>
      </w:tr>
    </w:tbl>
    <w:p w14:paraId="7F874AF5" w14:textId="77777777" w:rsidR="00067C34" w:rsidRDefault="00067C34">
      <w:pPr>
        <w:spacing w:line="360" w:lineRule="auto"/>
        <w:jc w:val="both"/>
        <w:rPr>
          <w:rFonts w:ascii="Arial" w:eastAsia="Arial" w:hAnsi="Arial" w:cs="Arial"/>
        </w:rPr>
      </w:pPr>
    </w:p>
    <w:p w14:paraId="04538B93"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Cabe destacar que en esta Evaluación de Solventación </w:t>
      </w:r>
      <w:r>
        <w:rPr>
          <w:rFonts w:ascii="Arial" w:eastAsia="Arial" w:hAnsi="Arial" w:cs="Arial"/>
          <w:b/>
        </w:rPr>
        <w:t>ningún sujeto obligado disminuyó su calificación</w:t>
      </w:r>
      <w:r>
        <w:rPr>
          <w:rFonts w:ascii="Arial" w:eastAsia="Arial" w:hAnsi="Arial" w:cs="Arial"/>
        </w:rPr>
        <w:t>, es decir, mejoraron o bien, se quedaron con el mismo puntaje obtenido de la Segunda Evaluación 2020. Sin embargo, merece una mención aparte el caso del partido político MORENA que por disposición normativa mantiene el mismo puntaje que obtuvo en la Segun</w:t>
      </w:r>
      <w:r>
        <w:rPr>
          <w:rFonts w:ascii="Arial" w:eastAsia="Arial" w:hAnsi="Arial" w:cs="Arial"/>
        </w:rPr>
        <w:t>da Evaluación (35.13) porque no atendió ninguna de las observaciones, sin embargo, en la verificación constatamos que dejó de tener habilitada la página en la que publicaba algunas de sus obligaciones de transparencia, por lo que, no tener esta limitante l</w:t>
      </w:r>
      <w:r>
        <w:rPr>
          <w:rFonts w:ascii="Arial" w:eastAsia="Arial" w:hAnsi="Arial" w:cs="Arial"/>
        </w:rPr>
        <w:t xml:space="preserve">egal, su calificación hubiera disminuido. </w:t>
      </w:r>
    </w:p>
    <w:p w14:paraId="141E2F8A"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Destaca que estos 119 sujetos obligados </w:t>
      </w:r>
      <w:r>
        <w:rPr>
          <w:rFonts w:ascii="Arial" w:eastAsia="Arial" w:hAnsi="Arial" w:cs="Arial"/>
          <w:color w:val="000000"/>
        </w:rPr>
        <w:t xml:space="preserve">tenían un </w:t>
      </w:r>
      <w:r>
        <w:rPr>
          <w:rFonts w:ascii="Arial" w:eastAsia="Arial" w:hAnsi="Arial" w:cs="Arial"/>
          <w:b/>
          <w:color w:val="000000"/>
        </w:rPr>
        <w:t>IGOT promedio</w:t>
      </w:r>
      <w:r>
        <w:rPr>
          <w:rFonts w:ascii="Arial" w:eastAsia="Arial" w:hAnsi="Arial" w:cs="Arial"/>
          <w:color w:val="000000"/>
        </w:rPr>
        <w:t xml:space="preserve"> de 66.54 puntos y en la Evaluación de Solventación obtuvieron </w:t>
      </w:r>
      <w:r>
        <w:rPr>
          <w:rFonts w:ascii="Arial" w:eastAsia="Arial" w:hAnsi="Arial" w:cs="Arial"/>
          <w:b/>
          <w:color w:val="000000"/>
        </w:rPr>
        <w:t>75.44 puntos</w:t>
      </w:r>
      <w:r>
        <w:rPr>
          <w:rFonts w:ascii="Arial" w:eastAsia="Arial" w:hAnsi="Arial" w:cs="Arial"/>
          <w:color w:val="000000"/>
        </w:rPr>
        <w:t xml:space="preserve">, es decir, hubo un incremento de 8.9 puntos. </w:t>
      </w:r>
      <w:r>
        <w:rPr>
          <w:rFonts w:ascii="Arial" w:eastAsia="Arial" w:hAnsi="Arial" w:cs="Arial"/>
        </w:rPr>
        <w:t xml:space="preserve">Desglosados estos resultados </w:t>
      </w:r>
      <w:r>
        <w:rPr>
          <w:rFonts w:ascii="Arial" w:eastAsia="Arial" w:hAnsi="Arial" w:cs="Arial"/>
        </w:rPr>
        <w:t>se tiene que, el mayor aumento se tuvo en la atención a los portales institucionales que pasó de tener un índice de cumplimiento promedio de 64.08 a 74.56, es decir 10.49 puntos más. También el cumplimiento en la Plataforma Nacional de Transparencia experi</w:t>
      </w:r>
      <w:r>
        <w:rPr>
          <w:rFonts w:ascii="Arial" w:eastAsia="Arial" w:hAnsi="Arial" w:cs="Arial"/>
        </w:rPr>
        <w:t xml:space="preserve">mentó un aumento de 69.01 a 76.30 lo que representa 7.29 puntos de mejora. </w:t>
      </w:r>
      <w:r>
        <w:rPr>
          <w:rFonts w:ascii="Arial" w:eastAsia="Arial" w:hAnsi="Arial" w:cs="Arial"/>
          <w:color w:val="000000"/>
        </w:rPr>
        <w:t xml:space="preserve"> </w:t>
      </w:r>
    </w:p>
    <w:p w14:paraId="65129041" w14:textId="77777777" w:rsidR="00067C34" w:rsidRDefault="00BA3CD1">
      <w:pPr>
        <w:spacing w:before="200"/>
        <w:jc w:val="both"/>
        <w:rPr>
          <w:rFonts w:ascii="Arial" w:eastAsia="Arial" w:hAnsi="Arial" w:cs="Arial"/>
          <w:b/>
          <w:sz w:val="22"/>
          <w:szCs w:val="22"/>
        </w:rPr>
      </w:pPr>
      <w:r>
        <w:rPr>
          <w:rFonts w:ascii="Arial" w:eastAsia="Arial" w:hAnsi="Arial" w:cs="Arial"/>
          <w:b/>
          <w:sz w:val="22"/>
          <w:szCs w:val="22"/>
        </w:rPr>
        <w:t>Sujetos obligados por ámbito y comparativo de IGOT promedio por ámbito y total</w:t>
      </w:r>
    </w:p>
    <w:tbl>
      <w:tblPr>
        <w:tblStyle w:val="afe"/>
        <w:tblW w:w="9142" w:type="dxa"/>
        <w:tblInd w:w="0" w:type="dxa"/>
        <w:tblLayout w:type="fixed"/>
        <w:tblLook w:val="0400" w:firstRow="0" w:lastRow="0" w:firstColumn="0" w:lastColumn="0" w:noHBand="0" w:noVBand="1"/>
      </w:tblPr>
      <w:tblGrid>
        <w:gridCol w:w="4841"/>
        <w:gridCol w:w="1433"/>
        <w:gridCol w:w="1433"/>
        <w:gridCol w:w="1435"/>
      </w:tblGrid>
      <w:tr w:rsidR="00067C34" w14:paraId="3682E9E7" w14:textId="77777777">
        <w:trPr>
          <w:trHeight w:val="266"/>
        </w:trPr>
        <w:tc>
          <w:tcPr>
            <w:tcW w:w="4841" w:type="dxa"/>
            <w:tcBorders>
              <w:top w:val="single" w:sz="4" w:space="0" w:color="000000"/>
              <w:left w:val="nil"/>
              <w:bottom w:val="single" w:sz="4" w:space="0" w:color="000000"/>
              <w:right w:val="nil"/>
            </w:tcBorders>
            <w:shd w:val="clear" w:color="auto" w:fill="auto"/>
            <w:vAlign w:val="center"/>
          </w:tcPr>
          <w:p w14:paraId="143506A0"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Ámbito de gobierno</w:t>
            </w:r>
          </w:p>
        </w:tc>
        <w:tc>
          <w:tcPr>
            <w:tcW w:w="1433" w:type="dxa"/>
            <w:tcBorders>
              <w:top w:val="single" w:sz="4" w:space="0" w:color="000000"/>
              <w:left w:val="nil"/>
              <w:bottom w:val="single" w:sz="4" w:space="0" w:color="000000"/>
              <w:right w:val="nil"/>
            </w:tcBorders>
            <w:shd w:val="clear" w:color="auto" w:fill="auto"/>
            <w:vAlign w:val="center"/>
          </w:tcPr>
          <w:p w14:paraId="514BE903"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SO</w:t>
            </w:r>
          </w:p>
        </w:tc>
        <w:tc>
          <w:tcPr>
            <w:tcW w:w="1433" w:type="dxa"/>
            <w:tcBorders>
              <w:top w:val="single" w:sz="4" w:space="0" w:color="000000"/>
              <w:left w:val="nil"/>
              <w:bottom w:val="single" w:sz="4" w:space="0" w:color="000000"/>
              <w:right w:val="nil"/>
            </w:tcBorders>
            <w:shd w:val="clear" w:color="auto" w:fill="auto"/>
            <w:vAlign w:val="center"/>
          </w:tcPr>
          <w:p w14:paraId="6836FD77"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Promedio de IGOT 2da</w:t>
            </w:r>
          </w:p>
        </w:tc>
        <w:tc>
          <w:tcPr>
            <w:tcW w:w="1435" w:type="dxa"/>
            <w:tcBorders>
              <w:top w:val="single" w:sz="4" w:space="0" w:color="000000"/>
              <w:left w:val="nil"/>
              <w:bottom w:val="single" w:sz="4" w:space="0" w:color="000000"/>
              <w:right w:val="nil"/>
            </w:tcBorders>
            <w:shd w:val="clear" w:color="auto" w:fill="auto"/>
            <w:vAlign w:val="center"/>
          </w:tcPr>
          <w:p w14:paraId="20A6B538"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Promedio de IGOT 3ra</w:t>
            </w:r>
          </w:p>
        </w:tc>
      </w:tr>
      <w:tr w:rsidR="00067C34" w14:paraId="17887E17" w14:textId="77777777">
        <w:trPr>
          <w:trHeight w:val="167"/>
        </w:trPr>
        <w:tc>
          <w:tcPr>
            <w:tcW w:w="4841" w:type="dxa"/>
            <w:tcBorders>
              <w:top w:val="nil"/>
              <w:left w:val="nil"/>
              <w:bottom w:val="nil"/>
              <w:right w:val="nil"/>
            </w:tcBorders>
            <w:shd w:val="clear" w:color="auto" w:fill="D9D9D9"/>
            <w:vAlign w:val="bottom"/>
          </w:tcPr>
          <w:p w14:paraId="5754247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Administración Pública Central</w:t>
            </w:r>
          </w:p>
        </w:tc>
        <w:tc>
          <w:tcPr>
            <w:tcW w:w="1433" w:type="dxa"/>
            <w:tcBorders>
              <w:top w:val="nil"/>
              <w:left w:val="nil"/>
              <w:bottom w:val="nil"/>
              <w:right w:val="nil"/>
            </w:tcBorders>
            <w:shd w:val="clear" w:color="auto" w:fill="D9D9D9"/>
            <w:vAlign w:val="bottom"/>
          </w:tcPr>
          <w:p w14:paraId="520822D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w:t>
            </w:r>
          </w:p>
        </w:tc>
        <w:tc>
          <w:tcPr>
            <w:tcW w:w="1433" w:type="dxa"/>
            <w:tcBorders>
              <w:top w:val="nil"/>
              <w:left w:val="nil"/>
              <w:bottom w:val="nil"/>
              <w:right w:val="nil"/>
            </w:tcBorders>
            <w:shd w:val="clear" w:color="auto" w:fill="D9D9D9"/>
            <w:vAlign w:val="bottom"/>
          </w:tcPr>
          <w:p w14:paraId="1D2CF5E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90.18</w:t>
            </w:r>
          </w:p>
        </w:tc>
        <w:tc>
          <w:tcPr>
            <w:tcW w:w="1435" w:type="dxa"/>
            <w:tcBorders>
              <w:top w:val="nil"/>
              <w:left w:val="nil"/>
              <w:bottom w:val="nil"/>
              <w:right w:val="nil"/>
            </w:tcBorders>
            <w:shd w:val="clear" w:color="auto" w:fill="D9D9D9"/>
            <w:vAlign w:val="bottom"/>
          </w:tcPr>
          <w:p w14:paraId="60E3A04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96.84</w:t>
            </w:r>
          </w:p>
        </w:tc>
      </w:tr>
      <w:tr w:rsidR="00067C34" w14:paraId="3088D45F" w14:textId="77777777">
        <w:trPr>
          <w:trHeight w:val="167"/>
        </w:trPr>
        <w:tc>
          <w:tcPr>
            <w:tcW w:w="4841" w:type="dxa"/>
            <w:tcBorders>
              <w:top w:val="nil"/>
              <w:left w:val="nil"/>
              <w:bottom w:val="nil"/>
              <w:right w:val="nil"/>
            </w:tcBorders>
            <w:shd w:val="clear" w:color="auto" w:fill="auto"/>
            <w:vAlign w:val="bottom"/>
          </w:tcPr>
          <w:p w14:paraId="6A59F7F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Alcaldías</w:t>
            </w:r>
          </w:p>
        </w:tc>
        <w:tc>
          <w:tcPr>
            <w:tcW w:w="1433" w:type="dxa"/>
            <w:tcBorders>
              <w:top w:val="nil"/>
              <w:left w:val="nil"/>
              <w:bottom w:val="nil"/>
              <w:right w:val="nil"/>
            </w:tcBorders>
            <w:shd w:val="clear" w:color="auto" w:fill="auto"/>
            <w:vAlign w:val="bottom"/>
          </w:tcPr>
          <w:p w14:paraId="188AC71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11</w:t>
            </w:r>
          </w:p>
        </w:tc>
        <w:tc>
          <w:tcPr>
            <w:tcW w:w="1433" w:type="dxa"/>
            <w:tcBorders>
              <w:top w:val="nil"/>
              <w:left w:val="nil"/>
              <w:bottom w:val="nil"/>
              <w:right w:val="nil"/>
            </w:tcBorders>
            <w:shd w:val="clear" w:color="auto" w:fill="auto"/>
            <w:vAlign w:val="bottom"/>
          </w:tcPr>
          <w:p w14:paraId="1F04FA6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90.13</w:t>
            </w:r>
          </w:p>
        </w:tc>
        <w:tc>
          <w:tcPr>
            <w:tcW w:w="1435" w:type="dxa"/>
            <w:tcBorders>
              <w:top w:val="nil"/>
              <w:left w:val="nil"/>
              <w:bottom w:val="nil"/>
              <w:right w:val="nil"/>
            </w:tcBorders>
            <w:shd w:val="clear" w:color="auto" w:fill="auto"/>
            <w:vAlign w:val="bottom"/>
          </w:tcPr>
          <w:p w14:paraId="1D06FF9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97.70</w:t>
            </w:r>
          </w:p>
        </w:tc>
      </w:tr>
      <w:tr w:rsidR="00067C34" w14:paraId="200B58B3" w14:textId="77777777">
        <w:trPr>
          <w:trHeight w:val="167"/>
        </w:trPr>
        <w:tc>
          <w:tcPr>
            <w:tcW w:w="4841" w:type="dxa"/>
            <w:tcBorders>
              <w:top w:val="nil"/>
              <w:left w:val="nil"/>
              <w:bottom w:val="nil"/>
              <w:right w:val="nil"/>
            </w:tcBorders>
            <w:shd w:val="clear" w:color="auto" w:fill="D9D9D9"/>
            <w:vAlign w:val="bottom"/>
          </w:tcPr>
          <w:p w14:paraId="0C480C0B"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Desconcentrados, paraestatales, descentralizados, auxiliares, fondos y fideicomisos</w:t>
            </w:r>
          </w:p>
        </w:tc>
        <w:tc>
          <w:tcPr>
            <w:tcW w:w="1433" w:type="dxa"/>
            <w:tcBorders>
              <w:top w:val="nil"/>
              <w:left w:val="nil"/>
              <w:bottom w:val="nil"/>
              <w:right w:val="nil"/>
            </w:tcBorders>
            <w:shd w:val="clear" w:color="auto" w:fill="D9D9D9"/>
            <w:vAlign w:val="bottom"/>
          </w:tcPr>
          <w:p w14:paraId="4302B91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59</w:t>
            </w:r>
          </w:p>
        </w:tc>
        <w:tc>
          <w:tcPr>
            <w:tcW w:w="1433" w:type="dxa"/>
            <w:tcBorders>
              <w:top w:val="nil"/>
              <w:left w:val="nil"/>
              <w:bottom w:val="nil"/>
              <w:right w:val="nil"/>
            </w:tcBorders>
            <w:shd w:val="clear" w:color="auto" w:fill="D9D9D9"/>
            <w:vAlign w:val="bottom"/>
          </w:tcPr>
          <w:p w14:paraId="5A82AE6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73.78</w:t>
            </w:r>
          </w:p>
        </w:tc>
        <w:tc>
          <w:tcPr>
            <w:tcW w:w="1435" w:type="dxa"/>
            <w:tcBorders>
              <w:top w:val="nil"/>
              <w:left w:val="nil"/>
              <w:bottom w:val="nil"/>
              <w:right w:val="nil"/>
            </w:tcBorders>
            <w:shd w:val="clear" w:color="auto" w:fill="D9D9D9"/>
            <w:vAlign w:val="bottom"/>
          </w:tcPr>
          <w:p w14:paraId="626A38A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86.10</w:t>
            </w:r>
          </w:p>
        </w:tc>
      </w:tr>
      <w:tr w:rsidR="00067C34" w14:paraId="07E5E79A" w14:textId="77777777">
        <w:trPr>
          <w:trHeight w:val="167"/>
        </w:trPr>
        <w:tc>
          <w:tcPr>
            <w:tcW w:w="4841" w:type="dxa"/>
            <w:tcBorders>
              <w:top w:val="nil"/>
              <w:left w:val="nil"/>
              <w:bottom w:val="nil"/>
              <w:right w:val="nil"/>
            </w:tcBorders>
            <w:shd w:val="clear" w:color="auto" w:fill="auto"/>
            <w:vAlign w:val="bottom"/>
          </w:tcPr>
          <w:p w14:paraId="6E56873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Órganos Autónomos</w:t>
            </w:r>
          </w:p>
        </w:tc>
        <w:tc>
          <w:tcPr>
            <w:tcW w:w="1433" w:type="dxa"/>
            <w:tcBorders>
              <w:top w:val="nil"/>
              <w:left w:val="nil"/>
              <w:bottom w:val="nil"/>
              <w:right w:val="nil"/>
            </w:tcBorders>
            <w:shd w:val="clear" w:color="auto" w:fill="auto"/>
            <w:vAlign w:val="bottom"/>
          </w:tcPr>
          <w:p w14:paraId="088D5D8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w:t>
            </w:r>
          </w:p>
        </w:tc>
        <w:tc>
          <w:tcPr>
            <w:tcW w:w="1433" w:type="dxa"/>
            <w:tcBorders>
              <w:top w:val="nil"/>
              <w:left w:val="nil"/>
              <w:bottom w:val="nil"/>
              <w:right w:val="nil"/>
            </w:tcBorders>
            <w:shd w:val="clear" w:color="auto" w:fill="auto"/>
            <w:vAlign w:val="bottom"/>
          </w:tcPr>
          <w:p w14:paraId="324A18A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76.17</w:t>
            </w:r>
          </w:p>
        </w:tc>
        <w:tc>
          <w:tcPr>
            <w:tcW w:w="1435" w:type="dxa"/>
            <w:tcBorders>
              <w:top w:val="nil"/>
              <w:left w:val="nil"/>
              <w:bottom w:val="nil"/>
              <w:right w:val="nil"/>
            </w:tcBorders>
            <w:shd w:val="clear" w:color="auto" w:fill="auto"/>
            <w:vAlign w:val="bottom"/>
          </w:tcPr>
          <w:p w14:paraId="5F9F936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80.04</w:t>
            </w:r>
          </w:p>
        </w:tc>
      </w:tr>
      <w:tr w:rsidR="00067C34" w14:paraId="4879B2A8" w14:textId="77777777">
        <w:trPr>
          <w:trHeight w:val="167"/>
        </w:trPr>
        <w:tc>
          <w:tcPr>
            <w:tcW w:w="4841" w:type="dxa"/>
            <w:tcBorders>
              <w:top w:val="nil"/>
              <w:left w:val="nil"/>
              <w:bottom w:val="nil"/>
              <w:right w:val="nil"/>
            </w:tcBorders>
            <w:shd w:val="clear" w:color="auto" w:fill="D9D9D9"/>
            <w:vAlign w:val="bottom"/>
          </w:tcPr>
          <w:p w14:paraId="19F2BFFC"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Partidos Políticos</w:t>
            </w:r>
          </w:p>
        </w:tc>
        <w:tc>
          <w:tcPr>
            <w:tcW w:w="1433" w:type="dxa"/>
            <w:tcBorders>
              <w:top w:val="nil"/>
              <w:left w:val="nil"/>
              <w:bottom w:val="nil"/>
              <w:right w:val="nil"/>
            </w:tcBorders>
            <w:shd w:val="clear" w:color="auto" w:fill="D9D9D9"/>
            <w:vAlign w:val="bottom"/>
          </w:tcPr>
          <w:p w14:paraId="10BBF38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w:t>
            </w:r>
          </w:p>
        </w:tc>
        <w:tc>
          <w:tcPr>
            <w:tcW w:w="1433" w:type="dxa"/>
            <w:tcBorders>
              <w:top w:val="nil"/>
              <w:left w:val="nil"/>
              <w:bottom w:val="nil"/>
              <w:right w:val="nil"/>
            </w:tcBorders>
            <w:shd w:val="clear" w:color="auto" w:fill="D9D9D9"/>
            <w:vAlign w:val="bottom"/>
          </w:tcPr>
          <w:p w14:paraId="15793DE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54.42</w:t>
            </w:r>
          </w:p>
        </w:tc>
        <w:tc>
          <w:tcPr>
            <w:tcW w:w="1435" w:type="dxa"/>
            <w:tcBorders>
              <w:top w:val="nil"/>
              <w:left w:val="nil"/>
              <w:bottom w:val="nil"/>
              <w:right w:val="nil"/>
            </w:tcBorders>
            <w:shd w:val="clear" w:color="auto" w:fill="D9D9D9"/>
            <w:vAlign w:val="bottom"/>
          </w:tcPr>
          <w:p w14:paraId="6747CC6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61.50</w:t>
            </w:r>
          </w:p>
        </w:tc>
      </w:tr>
      <w:tr w:rsidR="00067C34" w14:paraId="3227F964" w14:textId="77777777">
        <w:trPr>
          <w:trHeight w:val="167"/>
        </w:trPr>
        <w:tc>
          <w:tcPr>
            <w:tcW w:w="4841" w:type="dxa"/>
            <w:tcBorders>
              <w:top w:val="nil"/>
              <w:left w:val="nil"/>
              <w:bottom w:val="nil"/>
              <w:right w:val="nil"/>
            </w:tcBorders>
            <w:shd w:val="clear" w:color="auto" w:fill="auto"/>
            <w:vAlign w:val="bottom"/>
          </w:tcPr>
          <w:p w14:paraId="7FC7C10D"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Poder Judicial</w:t>
            </w:r>
          </w:p>
        </w:tc>
        <w:tc>
          <w:tcPr>
            <w:tcW w:w="1433" w:type="dxa"/>
            <w:tcBorders>
              <w:top w:val="nil"/>
              <w:left w:val="nil"/>
              <w:bottom w:val="nil"/>
              <w:right w:val="nil"/>
            </w:tcBorders>
            <w:shd w:val="clear" w:color="auto" w:fill="auto"/>
            <w:vAlign w:val="bottom"/>
          </w:tcPr>
          <w:p w14:paraId="2D4610C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w:t>
            </w:r>
          </w:p>
        </w:tc>
        <w:tc>
          <w:tcPr>
            <w:tcW w:w="1433" w:type="dxa"/>
            <w:tcBorders>
              <w:top w:val="nil"/>
              <w:left w:val="nil"/>
              <w:bottom w:val="nil"/>
              <w:right w:val="nil"/>
            </w:tcBorders>
            <w:shd w:val="clear" w:color="auto" w:fill="auto"/>
            <w:vAlign w:val="bottom"/>
          </w:tcPr>
          <w:p w14:paraId="73FD677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98.55</w:t>
            </w:r>
          </w:p>
        </w:tc>
        <w:tc>
          <w:tcPr>
            <w:tcW w:w="1435" w:type="dxa"/>
            <w:tcBorders>
              <w:top w:val="nil"/>
              <w:left w:val="nil"/>
              <w:bottom w:val="nil"/>
              <w:right w:val="nil"/>
            </w:tcBorders>
            <w:shd w:val="clear" w:color="auto" w:fill="auto"/>
            <w:vAlign w:val="bottom"/>
          </w:tcPr>
          <w:p w14:paraId="5B78537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99.76</w:t>
            </w:r>
          </w:p>
        </w:tc>
      </w:tr>
      <w:tr w:rsidR="00067C34" w14:paraId="73D97FE8" w14:textId="77777777">
        <w:trPr>
          <w:trHeight w:val="167"/>
        </w:trPr>
        <w:tc>
          <w:tcPr>
            <w:tcW w:w="4841" w:type="dxa"/>
            <w:tcBorders>
              <w:top w:val="nil"/>
              <w:left w:val="nil"/>
              <w:bottom w:val="nil"/>
              <w:right w:val="nil"/>
            </w:tcBorders>
            <w:shd w:val="clear" w:color="auto" w:fill="D9D9D9"/>
            <w:vAlign w:val="bottom"/>
          </w:tcPr>
          <w:p w14:paraId="42974B6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Poder Legislativo</w:t>
            </w:r>
          </w:p>
        </w:tc>
        <w:tc>
          <w:tcPr>
            <w:tcW w:w="1433" w:type="dxa"/>
            <w:tcBorders>
              <w:top w:val="nil"/>
              <w:left w:val="nil"/>
              <w:bottom w:val="nil"/>
              <w:right w:val="nil"/>
            </w:tcBorders>
            <w:shd w:val="clear" w:color="auto" w:fill="D9D9D9"/>
            <w:vAlign w:val="bottom"/>
          </w:tcPr>
          <w:p w14:paraId="413421E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w:t>
            </w:r>
          </w:p>
        </w:tc>
        <w:tc>
          <w:tcPr>
            <w:tcW w:w="1433" w:type="dxa"/>
            <w:tcBorders>
              <w:top w:val="nil"/>
              <w:left w:val="nil"/>
              <w:bottom w:val="nil"/>
              <w:right w:val="nil"/>
            </w:tcBorders>
            <w:shd w:val="clear" w:color="auto" w:fill="D9D9D9"/>
            <w:vAlign w:val="bottom"/>
          </w:tcPr>
          <w:p w14:paraId="08058E5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92.23</w:t>
            </w:r>
          </w:p>
        </w:tc>
        <w:tc>
          <w:tcPr>
            <w:tcW w:w="1435" w:type="dxa"/>
            <w:tcBorders>
              <w:top w:val="nil"/>
              <w:left w:val="nil"/>
              <w:bottom w:val="nil"/>
              <w:right w:val="nil"/>
            </w:tcBorders>
            <w:shd w:val="clear" w:color="auto" w:fill="D9D9D9"/>
            <w:vAlign w:val="bottom"/>
          </w:tcPr>
          <w:p w14:paraId="58313C0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96.17</w:t>
            </w:r>
          </w:p>
        </w:tc>
      </w:tr>
      <w:tr w:rsidR="00067C34" w14:paraId="11DEB032" w14:textId="77777777">
        <w:trPr>
          <w:trHeight w:val="167"/>
        </w:trPr>
        <w:tc>
          <w:tcPr>
            <w:tcW w:w="4841" w:type="dxa"/>
            <w:tcBorders>
              <w:top w:val="nil"/>
              <w:left w:val="nil"/>
              <w:bottom w:val="nil"/>
              <w:right w:val="nil"/>
            </w:tcBorders>
            <w:shd w:val="clear" w:color="auto" w:fill="auto"/>
            <w:vAlign w:val="bottom"/>
          </w:tcPr>
          <w:p w14:paraId="7A0CE88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Sindicatos</w:t>
            </w:r>
          </w:p>
        </w:tc>
        <w:tc>
          <w:tcPr>
            <w:tcW w:w="1433" w:type="dxa"/>
            <w:tcBorders>
              <w:top w:val="nil"/>
              <w:left w:val="nil"/>
              <w:bottom w:val="nil"/>
              <w:right w:val="nil"/>
            </w:tcBorders>
            <w:shd w:val="clear" w:color="auto" w:fill="auto"/>
            <w:vAlign w:val="bottom"/>
          </w:tcPr>
          <w:p w14:paraId="5C418FFB"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21</w:t>
            </w:r>
          </w:p>
        </w:tc>
        <w:tc>
          <w:tcPr>
            <w:tcW w:w="1433" w:type="dxa"/>
            <w:tcBorders>
              <w:top w:val="nil"/>
              <w:left w:val="nil"/>
              <w:bottom w:val="nil"/>
              <w:right w:val="nil"/>
            </w:tcBorders>
            <w:shd w:val="clear" w:color="auto" w:fill="auto"/>
            <w:vAlign w:val="bottom"/>
          </w:tcPr>
          <w:p w14:paraId="5A3D83A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21.71</w:t>
            </w:r>
          </w:p>
        </w:tc>
        <w:tc>
          <w:tcPr>
            <w:tcW w:w="1435" w:type="dxa"/>
            <w:tcBorders>
              <w:top w:val="nil"/>
              <w:left w:val="nil"/>
              <w:bottom w:val="nil"/>
              <w:right w:val="nil"/>
            </w:tcBorders>
            <w:shd w:val="clear" w:color="auto" w:fill="auto"/>
            <w:vAlign w:val="bottom"/>
          </w:tcPr>
          <w:p w14:paraId="04F04DA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25.93</w:t>
            </w:r>
          </w:p>
        </w:tc>
      </w:tr>
      <w:tr w:rsidR="00067C34" w14:paraId="74A2BD99" w14:textId="77777777">
        <w:trPr>
          <w:trHeight w:val="167"/>
        </w:trPr>
        <w:tc>
          <w:tcPr>
            <w:tcW w:w="4841" w:type="dxa"/>
            <w:tcBorders>
              <w:top w:val="nil"/>
              <w:left w:val="nil"/>
              <w:bottom w:val="single" w:sz="4" w:space="0" w:color="000000"/>
              <w:right w:val="nil"/>
            </w:tcBorders>
            <w:shd w:val="clear" w:color="auto" w:fill="D9D9D9"/>
            <w:vAlign w:val="bottom"/>
          </w:tcPr>
          <w:p w14:paraId="271A2311" w14:textId="77777777" w:rsidR="00067C34" w:rsidRDefault="00BA3CD1">
            <w:pPr>
              <w:rPr>
                <w:rFonts w:ascii="Arial" w:eastAsia="Arial" w:hAnsi="Arial" w:cs="Arial"/>
                <w:b/>
                <w:color w:val="000000"/>
                <w:sz w:val="20"/>
                <w:szCs w:val="20"/>
              </w:rPr>
            </w:pPr>
            <w:r>
              <w:rPr>
                <w:rFonts w:ascii="Arial" w:eastAsia="Arial" w:hAnsi="Arial" w:cs="Arial"/>
                <w:b/>
                <w:color w:val="000000"/>
                <w:sz w:val="20"/>
                <w:szCs w:val="20"/>
              </w:rPr>
              <w:t>Total general</w:t>
            </w:r>
          </w:p>
        </w:tc>
        <w:tc>
          <w:tcPr>
            <w:tcW w:w="1433" w:type="dxa"/>
            <w:tcBorders>
              <w:top w:val="nil"/>
              <w:left w:val="nil"/>
              <w:bottom w:val="single" w:sz="4" w:space="0" w:color="000000"/>
              <w:right w:val="nil"/>
            </w:tcBorders>
            <w:shd w:val="clear" w:color="auto" w:fill="D9D9D9"/>
            <w:vAlign w:val="bottom"/>
          </w:tcPr>
          <w:p w14:paraId="30BFFFCB"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119</w:t>
            </w:r>
          </w:p>
        </w:tc>
        <w:tc>
          <w:tcPr>
            <w:tcW w:w="1433" w:type="dxa"/>
            <w:tcBorders>
              <w:top w:val="nil"/>
              <w:left w:val="nil"/>
              <w:bottom w:val="single" w:sz="4" w:space="0" w:color="000000"/>
              <w:right w:val="nil"/>
            </w:tcBorders>
            <w:shd w:val="clear" w:color="auto" w:fill="D9D9D9"/>
            <w:vAlign w:val="bottom"/>
          </w:tcPr>
          <w:p w14:paraId="50C4E690"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66.54</w:t>
            </w:r>
          </w:p>
        </w:tc>
        <w:tc>
          <w:tcPr>
            <w:tcW w:w="1435" w:type="dxa"/>
            <w:tcBorders>
              <w:top w:val="nil"/>
              <w:left w:val="nil"/>
              <w:bottom w:val="single" w:sz="4" w:space="0" w:color="000000"/>
              <w:right w:val="nil"/>
            </w:tcBorders>
            <w:shd w:val="clear" w:color="auto" w:fill="D9D9D9"/>
            <w:vAlign w:val="bottom"/>
          </w:tcPr>
          <w:p w14:paraId="2CCDF7A8"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75.44</w:t>
            </w:r>
          </w:p>
        </w:tc>
      </w:tr>
    </w:tbl>
    <w:p w14:paraId="2250810F"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Analizado por </w:t>
      </w:r>
      <w:r>
        <w:rPr>
          <w:rFonts w:ascii="Arial" w:eastAsia="Arial" w:hAnsi="Arial" w:cs="Arial"/>
          <w:b/>
        </w:rPr>
        <w:t>ámbito de gobierno</w:t>
      </w:r>
      <w:r>
        <w:rPr>
          <w:rFonts w:ascii="Arial" w:eastAsia="Arial" w:hAnsi="Arial" w:cs="Arial"/>
        </w:rPr>
        <w:t xml:space="preserve"> se tiene que, el promedio de cumplimento en las obligaciones de transparencia tomando como referencia el IGOT, la mayor mejora tuvo lugar en los órganos desconcentrados, descentralizados, fondos y fideicomisos que pasó de 73.78 a 86.10 puntos (avance de 1</w:t>
      </w:r>
      <w:r>
        <w:rPr>
          <w:rFonts w:ascii="Arial" w:eastAsia="Arial" w:hAnsi="Arial" w:cs="Arial"/>
        </w:rPr>
        <w:t>2.32 puntos); en segundo lugar están las once alcaldías verificadas que pasaron de 90.13 a 97.70 (7.57 puntos de diferencia); los partidos políticos que mejoraron 7.08 puntos al pasar de 54.42 al 61.50 y en cuarto lugar está la administración pública centr</w:t>
      </w:r>
      <w:r>
        <w:rPr>
          <w:rFonts w:ascii="Arial" w:eastAsia="Arial" w:hAnsi="Arial" w:cs="Arial"/>
        </w:rPr>
        <w:t>al que pasó de 90.18 a 96.84  (6.66 puntos de avance).</w:t>
      </w:r>
    </w:p>
    <w:p w14:paraId="0573D446"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De acuerdo con el </w:t>
      </w:r>
      <w:r>
        <w:rPr>
          <w:rFonts w:ascii="Arial" w:eastAsia="Arial" w:hAnsi="Arial" w:cs="Arial"/>
          <w:b/>
        </w:rPr>
        <w:t>nivel de atención a las observaciones y recomendaciones</w:t>
      </w:r>
      <w:r>
        <w:rPr>
          <w:rFonts w:ascii="Arial" w:eastAsia="Arial" w:hAnsi="Arial" w:cs="Arial"/>
        </w:rPr>
        <w:t xml:space="preserve"> emitidas en la Segunda Evaluación Vinculante 2020 los 119 sujetos obligados se pueden clasificar de la siguiente manera: </w:t>
      </w:r>
      <w:r>
        <w:rPr>
          <w:rFonts w:ascii="Arial" w:eastAsia="Arial" w:hAnsi="Arial" w:cs="Arial"/>
          <w:b/>
        </w:rPr>
        <w:t>20 suj</w:t>
      </w:r>
      <w:r>
        <w:rPr>
          <w:rFonts w:ascii="Arial" w:eastAsia="Arial" w:hAnsi="Arial" w:cs="Arial"/>
          <w:b/>
        </w:rPr>
        <w:t>etos obligados</w:t>
      </w:r>
      <w:r>
        <w:rPr>
          <w:rFonts w:ascii="Arial" w:eastAsia="Arial" w:hAnsi="Arial" w:cs="Arial"/>
        </w:rPr>
        <w:t xml:space="preserve"> (lo que equivale al 16.8%) fueron omisos y </w:t>
      </w:r>
      <w:r>
        <w:rPr>
          <w:rFonts w:ascii="Arial" w:eastAsia="Arial" w:hAnsi="Arial" w:cs="Arial"/>
          <w:b/>
        </w:rPr>
        <w:t>no atendieron ninguna de las recomendaciones u observaciones</w:t>
      </w:r>
      <w:r>
        <w:rPr>
          <w:rFonts w:ascii="Arial" w:eastAsia="Arial" w:hAnsi="Arial" w:cs="Arial"/>
        </w:rPr>
        <w:t xml:space="preserve"> emitidas en el dictamen correspondiente. </w:t>
      </w:r>
    </w:p>
    <w:p w14:paraId="47A34145" w14:textId="77777777" w:rsidR="00067C34" w:rsidRDefault="00BA3CD1">
      <w:pPr>
        <w:spacing w:before="240" w:after="240" w:line="360" w:lineRule="auto"/>
        <w:jc w:val="both"/>
        <w:rPr>
          <w:rFonts w:ascii="Arial" w:eastAsia="Arial" w:hAnsi="Arial" w:cs="Arial"/>
        </w:rPr>
      </w:pPr>
      <w:r>
        <w:rPr>
          <w:rFonts w:ascii="Arial" w:eastAsia="Arial" w:hAnsi="Arial" w:cs="Arial"/>
        </w:rPr>
        <w:t>Del 2 al 28 de octubre (periodo establecido por el Pleno para atender las recomendaciones) la D</w:t>
      </w:r>
      <w:r>
        <w:rPr>
          <w:rFonts w:ascii="Arial" w:eastAsia="Arial" w:hAnsi="Arial" w:cs="Arial"/>
        </w:rPr>
        <w:t xml:space="preserve">EAEE acompañó a los sujetos obligados a través de </w:t>
      </w:r>
      <w:r>
        <w:rPr>
          <w:rFonts w:ascii="Arial" w:eastAsia="Arial" w:hAnsi="Arial" w:cs="Arial"/>
          <w:b/>
        </w:rPr>
        <w:t>80 asesorías técnicas especializadas</w:t>
      </w:r>
      <w:r>
        <w:rPr>
          <w:rFonts w:ascii="Arial" w:eastAsia="Arial" w:hAnsi="Arial" w:cs="Arial"/>
        </w:rPr>
        <w:t xml:space="preserve"> que se brindaron </w:t>
      </w:r>
      <w:r>
        <w:rPr>
          <w:rFonts w:ascii="Arial" w:eastAsia="Arial" w:hAnsi="Arial" w:cs="Arial"/>
          <w:b/>
        </w:rPr>
        <w:t>a 33 sujetos obligados</w:t>
      </w:r>
      <w:r>
        <w:rPr>
          <w:rFonts w:ascii="Arial" w:eastAsia="Arial" w:hAnsi="Arial" w:cs="Arial"/>
        </w:rPr>
        <w:t>.</w:t>
      </w:r>
    </w:p>
    <w:p w14:paraId="5D0BC49D"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Destaca que todos los sujetos obligados que recibieron asesoría técnica por parte de la Dirección tuvieron un </w:t>
      </w:r>
      <w:r>
        <w:rPr>
          <w:rFonts w:ascii="Arial" w:eastAsia="Arial" w:hAnsi="Arial" w:cs="Arial"/>
          <w:b/>
        </w:rPr>
        <w:t>incremento mayor e</w:t>
      </w:r>
      <w:r>
        <w:rPr>
          <w:rFonts w:ascii="Arial" w:eastAsia="Arial" w:hAnsi="Arial" w:cs="Arial"/>
          <w:b/>
        </w:rPr>
        <w:t>n su nivel de cumplimiento</w:t>
      </w:r>
      <w:r>
        <w:rPr>
          <w:rFonts w:ascii="Arial" w:eastAsia="Arial" w:hAnsi="Arial" w:cs="Arial"/>
        </w:rPr>
        <w:t xml:space="preserve"> de obligaciones de transparencia que los que no recibieron asesoría; para dimensionar esto baste decir que 20 de 33 sujetos obligados asesorados, que equivalen a 61%, lograron un cumplimiento total  con un IGOT de 100 puntos. </w:t>
      </w:r>
    </w:p>
    <w:p w14:paraId="27829EFE" w14:textId="77777777" w:rsidR="00067C34" w:rsidRDefault="00067C34">
      <w:pPr>
        <w:spacing w:before="240" w:after="240" w:line="360" w:lineRule="auto"/>
        <w:jc w:val="both"/>
        <w:rPr>
          <w:rFonts w:ascii="Arial" w:eastAsia="Arial" w:hAnsi="Arial" w:cs="Arial"/>
        </w:rPr>
      </w:pPr>
    </w:p>
    <w:p w14:paraId="591A3596" w14:textId="77777777" w:rsidR="00067C34" w:rsidRDefault="00BA3CD1">
      <w:pPr>
        <w:spacing w:before="200" w:after="200" w:line="360" w:lineRule="auto"/>
        <w:jc w:val="center"/>
        <w:rPr>
          <w:rFonts w:ascii="Arial" w:eastAsia="Arial" w:hAnsi="Arial" w:cs="Arial"/>
        </w:rPr>
      </w:pPr>
      <w:r>
        <w:rPr>
          <w:rFonts w:ascii="Arial" w:eastAsia="Arial" w:hAnsi="Arial" w:cs="Arial"/>
          <w:noProof/>
        </w:rPr>
        <w:drawing>
          <wp:inline distT="114300" distB="114300" distL="114300" distR="114300" wp14:anchorId="3ED80CB8" wp14:editId="016CCAB6">
            <wp:extent cx="5068326" cy="3483322"/>
            <wp:effectExtent l="0" t="0" r="0" b="0"/>
            <wp:docPr id="12778494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068326" cy="3483322"/>
                    </a:xfrm>
                    <a:prstGeom prst="rect">
                      <a:avLst/>
                    </a:prstGeom>
                    <a:ln/>
                  </pic:spPr>
                </pic:pic>
              </a:graphicData>
            </a:graphic>
          </wp:inline>
        </w:drawing>
      </w:r>
    </w:p>
    <w:p w14:paraId="5D86A7FD" w14:textId="77777777" w:rsidR="00067C34" w:rsidRDefault="00BA3CD1">
      <w:pPr>
        <w:spacing w:before="240" w:after="240" w:line="360" w:lineRule="auto"/>
        <w:jc w:val="both"/>
        <w:rPr>
          <w:rFonts w:ascii="Arial" w:eastAsia="Arial" w:hAnsi="Arial" w:cs="Arial"/>
        </w:rPr>
      </w:pPr>
      <w:r>
        <w:rPr>
          <w:rFonts w:ascii="Arial" w:eastAsia="Arial" w:hAnsi="Arial" w:cs="Arial"/>
        </w:rPr>
        <w:t xml:space="preserve">Esto prueba la eficacia de esta estrategia para abatir el incumplimiento prevista en el </w:t>
      </w:r>
      <w:r>
        <w:rPr>
          <w:rFonts w:ascii="Arial" w:eastAsia="Arial" w:hAnsi="Arial" w:cs="Arial"/>
          <w:i/>
        </w:rPr>
        <w:t>Plan Estratégico para Desarrollar la Agenda de Estado Abierto desde el Instituto 2019-2025</w:t>
      </w:r>
      <w:r>
        <w:rPr>
          <w:rFonts w:ascii="Arial" w:eastAsia="Arial" w:hAnsi="Arial" w:cs="Arial"/>
        </w:rPr>
        <w:t>.</w:t>
      </w:r>
    </w:p>
    <w:p w14:paraId="11E76F5A" w14:textId="77777777" w:rsidR="00067C34" w:rsidRDefault="00BA3CD1">
      <w:pPr>
        <w:spacing w:before="200" w:after="200" w:line="360" w:lineRule="auto"/>
        <w:jc w:val="both"/>
        <w:rPr>
          <w:rFonts w:ascii="Arial" w:eastAsia="Arial" w:hAnsi="Arial" w:cs="Arial"/>
        </w:rPr>
      </w:pPr>
      <w:r>
        <w:rPr>
          <w:rFonts w:ascii="Arial" w:eastAsia="Arial" w:hAnsi="Arial" w:cs="Arial"/>
        </w:rPr>
        <w:t>El 83.2% restante, es decir, 99 sujetos obligados solventaron, al menos, un</w:t>
      </w:r>
      <w:r>
        <w:rPr>
          <w:rFonts w:ascii="Arial" w:eastAsia="Arial" w:hAnsi="Arial" w:cs="Arial"/>
        </w:rPr>
        <w:t xml:space="preserve">a recomendación. De éstos, </w:t>
      </w:r>
      <w:r>
        <w:rPr>
          <w:rFonts w:ascii="Arial" w:eastAsia="Arial" w:hAnsi="Arial" w:cs="Arial"/>
          <w:b/>
        </w:rPr>
        <w:t xml:space="preserve">29 sujetos obligados </w:t>
      </w:r>
      <w:r>
        <w:rPr>
          <w:rFonts w:ascii="Arial" w:eastAsia="Arial" w:hAnsi="Arial" w:cs="Arial"/>
        </w:rPr>
        <w:t xml:space="preserve">dieron </w:t>
      </w:r>
      <w:r>
        <w:rPr>
          <w:rFonts w:ascii="Arial" w:eastAsia="Arial" w:hAnsi="Arial" w:cs="Arial"/>
          <w:b/>
        </w:rPr>
        <w:t xml:space="preserve">cumplimiento total </w:t>
      </w:r>
      <w:r>
        <w:rPr>
          <w:rFonts w:ascii="Arial" w:eastAsia="Arial" w:hAnsi="Arial" w:cs="Arial"/>
        </w:rPr>
        <w:t>a las obligaciones de transparencia. Otros 70 sujetos obligados que atendieron al menos una recomendación vinculante solo mejoraron su índice de cumplimiento.</w:t>
      </w:r>
    </w:p>
    <w:p w14:paraId="76A78C62"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Se realizó un análisis </w:t>
      </w:r>
      <w:r>
        <w:rPr>
          <w:rFonts w:ascii="Arial" w:eastAsia="Arial" w:hAnsi="Arial" w:cs="Arial"/>
        </w:rPr>
        <w:t xml:space="preserve">particular al </w:t>
      </w:r>
      <w:r>
        <w:rPr>
          <w:rFonts w:ascii="Arial" w:eastAsia="Arial" w:hAnsi="Arial" w:cs="Arial"/>
          <w:b/>
        </w:rPr>
        <w:t>cumplimiento de las obligaciones referidas a las contrataciones</w:t>
      </w:r>
      <w:r>
        <w:rPr>
          <w:rFonts w:ascii="Arial" w:eastAsia="Arial" w:hAnsi="Arial" w:cs="Arial"/>
        </w:rPr>
        <w:t xml:space="preserve"> por parte de los sujetos obligados de la Ciudad de México. Para ello se analizó la información de los procedimientos de contratación a través de </w:t>
      </w:r>
      <w:r>
        <w:rPr>
          <w:rFonts w:ascii="Arial" w:eastAsia="Arial" w:hAnsi="Arial" w:cs="Arial"/>
          <w:b/>
        </w:rPr>
        <w:t>licitación pública, invitación re</w:t>
      </w:r>
      <w:r>
        <w:rPr>
          <w:rFonts w:ascii="Arial" w:eastAsia="Arial" w:hAnsi="Arial" w:cs="Arial"/>
          <w:b/>
        </w:rPr>
        <w:t>stringida y adjudicación directa</w:t>
      </w:r>
      <w:r>
        <w:rPr>
          <w:rFonts w:ascii="Arial" w:eastAsia="Arial" w:hAnsi="Arial" w:cs="Arial"/>
        </w:rPr>
        <w:t xml:space="preserve"> en la fracción XXX del artículo 121 de la Ley de Transparencia para casi todos los ámbitos excepto para partidos políticos y sindicatos. Para el caso de partidos políticos se analizó la fracción IV del artículo 129 y para l</w:t>
      </w:r>
      <w:r>
        <w:rPr>
          <w:rFonts w:ascii="Arial" w:eastAsia="Arial" w:hAnsi="Arial" w:cs="Arial"/>
        </w:rPr>
        <w:t>os sindicatos la fracción IV, del artículo 138 de la Ley de Transparencia.</w:t>
      </w:r>
    </w:p>
    <w:p w14:paraId="14C190C1"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Así se encontró que, el promedio de cumplimiento de la publicación de información respecto de las </w:t>
      </w:r>
      <w:r>
        <w:rPr>
          <w:rFonts w:ascii="Arial" w:eastAsia="Arial" w:hAnsi="Arial" w:cs="Arial"/>
          <w:b/>
        </w:rPr>
        <w:t>contrataciones</w:t>
      </w:r>
      <w:r>
        <w:rPr>
          <w:rFonts w:ascii="Arial" w:eastAsia="Arial" w:hAnsi="Arial" w:cs="Arial"/>
        </w:rPr>
        <w:t xml:space="preserve"> para el grupo de 119 sujetos obligados que se verificó fue de 55.64 </w:t>
      </w:r>
      <w:r>
        <w:rPr>
          <w:rFonts w:ascii="Arial" w:eastAsia="Arial" w:hAnsi="Arial" w:cs="Arial"/>
        </w:rPr>
        <w:t>puntos en la Segunda Evaluación, mientras que en la Evaluación de Solventación aumentó a 67.16, es decir, tuvo un incremento de 11.52 puntos.</w:t>
      </w:r>
    </w:p>
    <w:p w14:paraId="60DAE70C"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Aunque </w:t>
      </w:r>
      <w:r>
        <w:rPr>
          <w:rFonts w:ascii="Arial" w:eastAsia="Arial" w:hAnsi="Arial" w:cs="Arial"/>
          <w:b/>
        </w:rPr>
        <w:t>todos los ámbitos de gobierno mejoraron</w:t>
      </w:r>
      <w:r>
        <w:rPr>
          <w:rFonts w:ascii="Arial" w:eastAsia="Arial" w:hAnsi="Arial" w:cs="Arial"/>
        </w:rPr>
        <w:t xml:space="preserve"> la publicación de contratos como producto de la atención a las reco</w:t>
      </w:r>
      <w:r>
        <w:rPr>
          <w:rFonts w:ascii="Arial" w:eastAsia="Arial" w:hAnsi="Arial" w:cs="Arial"/>
        </w:rPr>
        <w:t xml:space="preserve">mendaciones y observaciones, existen casos en los que las mejoras fueron muy significativas, por ejemplo, el </w:t>
      </w:r>
      <w:r>
        <w:rPr>
          <w:rFonts w:ascii="Arial" w:eastAsia="Arial" w:hAnsi="Arial" w:cs="Arial"/>
          <w:b/>
        </w:rPr>
        <w:t xml:space="preserve">Poder Judicial </w:t>
      </w:r>
      <w:r>
        <w:rPr>
          <w:rFonts w:ascii="Arial" w:eastAsia="Arial" w:hAnsi="Arial" w:cs="Arial"/>
        </w:rPr>
        <w:t xml:space="preserve">incrementó 21.19 puntos y pasó de 78.81 a </w:t>
      </w:r>
      <w:r>
        <w:rPr>
          <w:rFonts w:ascii="Arial" w:eastAsia="Arial" w:hAnsi="Arial" w:cs="Arial"/>
          <w:b/>
        </w:rPr>
        <w:t>100 puntos</w:t>
      </w:r>
      <w:r>
        <w:rPr>
          <w:rFonts w:ascii="Arial" w:eastAsia="Arial" w:hAnsi="Arial" w:cs="Arial"/>
        </w:rPr>
        <w:t xml:space="preserve">; el ámbito de los órganos desconcentrados y descentralizados que tuvo un incremento de 18.68 puntos al pasar de 54.26 a 72.94 puntos y la </w:t>
      </w:r>
      <w:r>
        <w:rPr>
          <w:rFonts w:ascii="Arial" w:eastAsia="Arial" w:hAnsi="Arial" w:cs="Arial"/>
          <w:b/>
        </w:rPr>
        <w:t>administración pública central</w:t>
      </w:r>
      <w:r>
        <w:rPr>
          <w:rFonts w:ascii="Arial" w:eastAsia="Arial" w:hAnsi="Arial" w:cs="Arial"/>
        </w:rPr>
        <w:t xml:space="preserve"> pasó de 94.50 a </w:t>
      </w:r>
      <w:r>
        <w:rPr>
          <w:rFonts w:ascii="Arial" w:eastAsia="Arial" w:hAnsi="Arial" w:cs="Arial"/>
          <w:b/>
        </w:rPr>
        <w:t>100 puntos</w:t>
      </w:r>
      <w:r>
        <w:rPr>
          <w:rFonts w:ascii="Arial" w:eastAsia="Arial" w:hAnsi="Arial" w:cs="Arial"/>
        </w:rPr>
        <w:t xml:space="preserve">. </w:t>
      </w:r>
    </w:p>
    <w:p w14:paraId="48DE9445" w14:textId="77777777" w:rsidR="00067C34" w:rsidRDefault="00BA3CD1">
      <w:pPr>
        <w:spacing w:before="200" w:after="200" w:line="360" w:lineRule="auto"/>
        <w:jc w:val="both"/>
        <w:rPr>
          <w:rFonts w:ascii="Arial" w:eastAsia="Arial" w:hAnsi="Arial" w:cs="Arial"/>
        </w:rPr>
      </w:pPr>
      <w:r>
        <w:rPr>
          <w:rFonts w:ascii="Arial" w:eastAsia="Arial" w:hAnsi="Arial" w:cs="Arial"/>
        </w:rPr>
        <w:t>En el otro extremo se ubican los partidos políticos y sin</w:t>
      </w:r>
      <w:r>
        <w:rPr>
          <w:rFonts w:ascii="Arial" w:eastAsia="Arial" w:hAnsi="Arial" w:cs="Arial"/>
        </w:rPr>
        <w:t xml:space="preserve">dicatos que, a pesar de que mejoraron entre las dos evaluaciones la publicación de sus contratos, se mantienen en el nivel de </w:t>
      </w:r>
      <w:r>
        <w:rPr>
          <w:rFonts w:ascii="Arial" w:eastAsia="Arial" w:hAnsi="Arial" w:cs="Arial"/>
          <w:b/>
        </w:rPr>
        <w:t>incumplimiento parcial</w:t>
      </w:r>
      <w:r>
        <w:rPr>
          <w:rFonts w:ascii="Arial" w:eastAsia="Arial" w:hAnsi="Arial" w:cs="Arial"/>
        </w:rPr>
        <w:t xml:space="preserve">. Los partidos políticos pasaron de 40 a 45 puntos y los sindicatos de 19.17 a 21.56. </w:t>
      </w:r>
    </w:p>
    <w:p w14:paraId="1DEAFDE6" w14:textId="77777777" w:rsidR="00067C34" w:rsidRDefault="00BA3CD1">
      <w:pPr>
        <w:spacing w:before="200" w:after="200" w:line="360" w:lineRule="auto"/>
        <w:jc w:val="both"/>
        <w:rPr>
          <w:rFonts w:ascii="Arial" w:eastAsia="Arial" w:hAnsi="Arial" w:cs="Arial"/>
        </w:rPr>
      </w:pPr>
      <w:r>
        <w:rPr>
          <w:rFonts w:ascii="Arial" w:eastAsia="Arial" w:hAnsi="Arial" w:cs="Arial"/>
        </w:rPr>
        <w:t xml:space="preserve">En el nivel de </w:t>
      </w:r>
      <w:r>
        <w:rPr>
          <w:rFonts w:ascii="Arial" w:eastAsia="Arial" w:hAnsi="Arial" w:cs="Arial"/>
          <w:b/>
        </w:rPr>
        <w:t>incump</w:t>
      </w:r>
      <w:r>
        <w:rPr>
          <w:rFonts w:ascii="Arial" w:eastAsia="Arial" w:hAnsi="Arial" w:cs="Arial"/>
          <w:b/>
        </w:rPr>
        <w:t>limiento total</w:t>
      </w:r>
      <w:r>
        <w:rPr>
          <w:rFonts w:ascii="Arial" w:eastAsia="Arial" w:hAnsi="Arial" w:cs="Arial"/>
        </w:rPr>
        <w:t xml:space="preserve"> en la obligación establecida en la ley referente a publicar los procesos de contratación había 35 sujetos obligados en la Segunda Evaluación y ahora son 31 sujetos obligados que representan el 26% de los 119 verificados. A pesar de que cuatr</w:t>
      </w:r>
      <w:r>
        <w:rPr>
          <w:rFonts w:ascii="Arial" w:eastAsia="Arial" w:hAnsi="Arial" w:cs="Arial"/>
        </w:rPr>
        <w:t>o sujetos obligados atendieron las recomendaciones y con ello mejoraron su resultado y salieron de este grupo de incumplimiento total, prevalece la opacidad en uno de cada cuatro sujetos obligados del Padrón vigente al 31 de diciembre de 2019 (21.2% de 146</w:t>
      </w:r>
      <w:r>
        <w:rPr>
          <w:rFonts w:ascii="Arial" w:eastAsia="Arial" w:hAnsi="Arial" w:cs="Arial"/>
        </w:rPr>
        <w:t xml:space="preserve"> sujetos obligados). </w:t>
      </w:r>
    </w:p>
    <w:p w14:paraId="5B1B2A6F" w14:textId="77777777" w:rsidR="00067C34" w:rsidRDefault="00BA3CD1">
      <w:pPr>
        <w:spacing w:before="200" w:after="200" w:line="360" w:lineRule="auto"/>
        <w:jc w:val="both"/>
        <w:rPr>
          <w:rFonts w:ascii="Arial" w:eastAsia="Arial" w:hAnsi="Arial" w:cs="Arial"/>
        </w:rPr>
      </w:pPr>
      <w:r>
        <w:rPr>
          <w:rFonts w:ascii="Arial" w:eastAsia="Arial" w:hAnsi="Arial" w:cs="Arial"/>
        </w:rPr>
        <w:t>Ante esta gran área de oportunidad detectada en la Evaluación de Solventación, la Dirección de Estado Abierto, Estudios y Evaluación seguirá desplegando su estrategia de acompañamiento a través de asesorías técnicas permanentes que pe</w:t>
      </w:r>
      <w:r>
        <w:rPr>
          <w:rFonts w:ascii="Arial" w:eastAsia="Arial" w:hAnsi="Arial" w:cs="Arial"/>
        </w:rPr>
        <w:t>rmita a los sujetos obligados: por un lado, dar cumplimiento a estas obligaciones mínimas marcadas en la normatividad en materia de transparencia; y, por otro lado, mejorar diversos aspectos encaminados hacia la apertura institucional en la información com</w:t>
      </w:r>
      <w:r>
        <w:rPr>
          <w:rFonts w:ascii="Arial" w:eastAsia="Arial" w:hAnsi="Arial" w:cs="Arial"/>
        </w:rPr>
        <w:t>o son: la accesibilidad, el lenguaje sencillo, bases abiertas, la oportunidad en uno de los temas que despierta gran interés entre las personas como lo son los procesos vinculados con las contrataciones.</w:t>
      </w:r>
    </w:p>
    <w:p w14:paraId="3C37C1E9" w14:textId="77777777" w:rsidR="00067C34" w:rsidRDefault="00BA3CD1">
      <w:pPr>
        <w:jc w:val="both"/>
      </w:pPr>
      <w:r>
        <w:rPr>
          <w:rFonts w:ascii="Arial" w:eastAsia="Arial" w:hAnsi="Arial" w:cs="Arial"/>
          <w:b/>
        </w:rPr>
        <w:t>Resultados del análisis de las fracciones de Ley loc</w:t>
      </w:r>
      <w:r>
        <w:rPr>
          <w:rFonts w:ascii="Arial" w:eastAsia="Arial" w:hAnsi="Arial" w:cs="Arial"/>
          <w:b/>
        </w:rPr>
        <w:t>al de Transparencia relativas a las contrataciones</w:t>
      </w:r>
      <w:r>
        <w:t xml:space="preserve"> </w:t>
      </w:r>
    </w:p>
    <w:p w14:paraId="4216DC77" w14:textId="77777777" w:rsidR="00067C34" w:rsidRDefault="00BA3CD1">
      <w:pPr>
        <w:spacing w:line="360" w:lineRule="auto"/>
        <w:jc w:val="both"/>
        <w:rPr>
          <w:rFonts w:ascii="Arial" w:eastAsia="Arial" w:hAnsi="Arial" w:cs="Arial"/>
          <w:b/>
        </w:rPr>
      </w:pPr>
      <w:r>
        <w:rPr>
          <w:noProof/>
        </w:rPr>
        <w:drawing>
          <wp:inline distT="0" distB="0" distL="0" distR="0" wp14:anchorId="45A94FC1" wp14:editId="0B657C54">
            <wp:extent cx="5896928" cy="2571750"/>
            <wp:effectExtent l="0" t="0" r="0" b="0"/>
            <wp:docPr id="12778494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896928" cy="2571750"/>
                    </a:xfrm>
                    <a:prstGeom prst="rect">
                      <a:avLst/>
                    </a:prstGeom>
                    <a:ln/>
                  </pic:spPr>
                </pic:pic>
              </a:graphicData>
            </a:graphic>
          </wp:inline>
        </w:drawing>
      </w:r>
    </w:p>
    <w:p w14:paraId="02148C63" w14:textId="77777777" w:rsidR="00067C34" w:rsidRDefault="00067C34">
      <w:pPr>
        <w:jc w:val="both"/>
        <w:rPr>
          <w:rFonts w:ascii="Arial" w:eastAsia="Arial" w:hAnsi="Arial" w:cs="Arial"/>
          <w:b/>
        </w:rPr>
      </w:pPr>
    </w:p>
    <w:p w14:paraId="695A6C8E" w14:textId="77777777" w:rsidR="00067C34" w:rsidRDefault="00067C34">
      <w:pPr>
        <w:jc w:val="both"/>
        <w:rPr>
          <w:rFonts w:ascii="Arial" w:eastAsia="Arial" w:hAnsi="Arial" w:cs="Arial"/>
          <w:b/>
        </w:rPr>
      </w:pPr>
    </w:p>
    <w:p w14:paraId="4D038570" w14:textId="77777777" w:rsidR="00067C34" w:rsidRDefault="00BA3CD1">
      <w:pPr>
        <w:spacing w:before="240" w:after="240" w:line="360" w:lineRule="auto"/>
        <w:jc w:val="both"/>
        <w:rPr>
          <w:rFonts w:ascii="Arial" w:eastAsia="Arial" w:hAnsi="Arial" w:cs="Arial"/>
          <w:b/>
        </w:rPr>
      </w:pPr>
      <w:r>
        <w:rPr>
          <w:rFonts w:ascii="Arial" w:eastAsia="Arial" w:hAnsi="Arial" w:cs="Arial"/>
          <w:b/>
        </w:rPr>
        <w:t>Siguientes pasos</w:t>
      </w:r>
    </w:p>
    <w:p w14:paraId="1B230237" w14:textId="77777777" w:rsidR="00067C34" w:rsidRDefault="00BA3CD1">
      <w:pPr>
        <w:numPr>
          <w:ilvl w:val="0"/>
          <w:numId w:val="1"/>
        </w:numPr>
        <w:spacing w:line="360" w:lineRule="auto"/>
        <w:jc w:val="both"/>
        <w:rPr>
          <w:rFonts w:ascii="Arial" w:eastAsia="Arial" w:hAnsi="Arial" w:cs="Arial"/>
          <w:color w:val="000000"/>
        </w:rPr>
      </w:pPr>
      <w:r>
        <w:rPr>
          <w:rFonts w:ascii="Arial" w:eastAsia="Arial" w:hAnsi="Arial" w:cs="Arial"/>
        </w:rPr>
        <w:t xml:space="preserve">La Dirección de Estado Abierto, Estudios y Evaluación del Instituto </w:t>
      </w:r>
      <w:r>
        <w:rPr>
          <w:rFonts w:ascii="Arial" w:eastAsia="Arial" w:hAnsi="Arial" w:cs="Arial"/>
          <w:b/>
        </w:rPr>
        <w:t xml:space="preserve">notificará </w:t>
      </w:r>
      <w:r>
        <w:rPr>
          <w:rFonts w:ascii="Arial" w:eastAsia="Arial" w:hAnsi="Arial" w:cs="Arial"/>
        </w:rPr>
        <w:t xml:space="preserve">a cada sujeto obligado su </w:t>
      </w:r>
      <w:r>
        <w:rPr>
          <w:rFonts w:ascii="Arial" w:eastAsia="Arial" w:hAnsi="Arial" w:cs="Arial"/>
          <w:b/>
        </w:rPr>
        <w:t>dictamen de evaluación</w:t>
      </w:r>
      <w:r>
        <w:rPr>
          <w:rFonts w:ascii="Arial" w:eastAsia="Arial" w:hAnsi="Arial" w:cs="Arial"/>
        </w:rPr>
        <w:t xml:space="preserve"> con las recomendaciones vinculantes y observaciones, la</w:t>
      </w:r>
      <w:r>
        <w:rPr>
          <w:rFonts w:ascii="Arial" w:eastAsia="Arial" w:hAnsi="Arial" w:cs="Arial"/>
        </w:rPr>
        <w:t xml:space="preserve">s cuales deben de ser </w:t>
      </w:r>
      <w:r>
        <w:rPr>
          <w:rFonts w:ascii="Arial" w:eastAsia="Arial" w:hAnsi="Arial" w:cs="Arial"/>
          <w:b/>
        </w:rPr>
        <w:t xml:space="preserve">solventadas </w:t>
      </w:r>
      <w:r>
        <w:rPr>
          <w:rFonts w:ascii="Arial" w:eastAsia="Arial" w:hAnsi="Arial" w:cs="Arial"/>
        </w:rPr>
        <w:t>en un plazo no mayor a</w:t>
      </w:r>
      <w:r>
        <w:rPr>
          <w:rFonts w:ascii="Arial" w:eastAsia="Arial" w:hAnsi="Arial" w:cs="Arial"/>
          <w:b/>
        </w:rPr>
        <w:t xml:space="preserve"> cinco días hábiles</w:t>
      </w:r>
      <w:r>
        <w:rPr>
          <w:rFonts w:ascii="Arial" w:eastAsia="Arial" w:hAnsi="Arial" w:cs="Arial"/>
        </w:rPr>
        <w:t>, a partir de la notificación. Concluido el plazo, y en caso de que subsistan los incumplimientos total o parcial, se informará al Pleno para que, en su caso, imponga las medidas de</w:t>
      </w:r>
      <w:r>
        <w:rPr>
          <w:rFonts w:ascii="Arial" w:eastAsia="Arial" w:hAnsi="Arial" w:cs="Arial"/>
        </w:rPr>
        <w:t xml:space="preserve"> apremio o sanciones, conforme a lo establecido por la Ley de Transparencia de la Ciudad de México.</w:t>
      </w:r>
    </w:p>
    <w:p w14:paraId="2918BA5E" w14:textId="77777777" w:rsidR="00067C34" w:rsidRDefault="00BA3CD1">
      <w:pPr>
        <w:numPr>
          <w:ilvl w:val="0"/>
          <w:numId w:val="1"/>
        </w:numPr>
        <w:spacing w:line="360" w:lineRule="auto"/>
        <w:jc w:val="both"/>
        <w:rPr>
          <w:rFonts w:ascii="Arial" w:eastAsia="Arial" w:hAnsi="Arial" w:cs="Arial"/>
          <w:color w:val="000000"/>
        </w:rPr>
      </w:pPr>
      <w:r>
        <w:rPr>
          <w:rFonts w:ascii="Arial" w:eastAsia="Arial" w:hAnsi="Arial" w:cs="Arial"/>
        </w:rPr>
        <w:t>El equipo de Estado Abierto del InfoCDMX continuará con la estrategia de acompañamiento a los sujetos obligados a través de las asesorías técnicas especiali</w:t>
      </w:r>
      <w:r>
        <w:rPr>
          <w:rFonts w:ascii="Arial" w:eastAsia="Arial" w:hAnsi="Arial" w:cs="Arial"/>
        </w:rPr>
        <w:t xml:space="preserve">zadas individuales y por ámbito de gobierno para remontar las brechas detectadas y alcanzar el cumplimiento total de las obligaciones de transparencia que marca la ley y así seguir dando pasos en la implementación del </w:t>
      </w:r>
      <w:r>
        <w:rPr>
          <w:rFonts w:ascii="Arial" w:eastAsia="Arial" w:hAnsi="Arial" w:cs="Arial"/>
          <w:b/>
        </w:rPr>
        <w:t>Plan Estratégico para Desarrollar la A</w:t>
      </w:r>
      <w:r>
        <w:rPr>
          <w:rFonts w:ascii="Arial" w:eastAsia="Arial" w:hAnsi="Arial" w:cs="Arial"/>
          <w:b/>
        </w:rPr>
        <w:t>genda de Estado Abierto desde el Instituto 2019-2025</w:t>
      </w:r>
      <w:r>
        <w:rPr>
          <w:rFonts w:ascii="Arial" w:eastAsia="Arial" w:hAnsi="Arial" w:cs="Arial"/>
        </w:rPr>
        <w:t xml:space="preserve"> con evaluaciones oportunas y eficaces con perspectiva de derechos humanos y accesibilidad.</w:t>
      </w:r>
    </w:p>
    <w:p w14:paraId="34B27F71" w14:textId="77777777" w:rsidR="00067C34" w:rsidRDefault="00BA3CD1">
      <w:pPr>
        <w:numPr>
          <w:ilvl w:val="0"/>
          <w:numId w:val="1"/>
        </w:numPr>
        <w:spacing w:line="360" w:lineRule="auto"/>
        <w:jc w:val="both"/>
        <w:rPr>
          <w:rFonts w:ascii="Arial" w:eastAsia="Arial" w:hAnsi="Arial" w:cs="Arial"/>
          <w:color w:val="000000"/>
        </w:rPr>
      </w:pPr>
      <w:r>
        <w:rPr>
          <w:rFonts w:ascii="Arial" w:eastAsia="Arial" w:hAnsi="Arial" w:cs="Arial"/>
        </w:rPr>
        <w:t xml:space="preserve">La estrategia de acompañamiento permanente con base en las </w:t>
      </w:r>
      <w:r>
        <w:rPr>
          <w:rFonts w:ascii="Arial" w:eastAsia="Arial" w:hAnsi="Arial" w:cs="Arial"/>
          <w:b/>
        </w:rPr>
        <w:t xml:space="preserve">asesorías técnicas especializadas </w:t>
      </w:r>
      <w:r>
        <w:rPr>
          <w:rFonts w:ascii="Arial" w:eastAsia="Arial" w:hAnsi="Arial" w:cs="Arial"/>
        </w:rPr>
        <w:t>focaliza y genera a</w:t>
      </w:r>
      <w:r>
        <w:rPr>
          <w:rFonts w:ascii="Arial" w:eastAsia="Arial" w:hAnsi="Arial" w:cs="Arial"/>
        </w:rPr>
        <w:t>cciones específicas de acuerdo con las necesidades de cada sujeto obligado que permitan, por un lado, mejorar el cumplimiento cabal a las obligaciones de transparencia mínimas que estipula la ley; y, por otro lado, mejorar diversos aspectos encaminados hac</w:t>
      </w:r>
      <w:r>
        <w:rPr>
          <w:rFonts w:ascii="Arial" w:eastAsia="Arial" w:hAnsi="Arial" w:cs="Arial"/>
        </w:rPr>
        <w:t xml:space="preserve">ia la </w:t>
      </w:r>
      <w:r>
        <w:rPr>
          <w:rFonts w:ascii="Arial" w:eastAsia="Arial" w:hAnsi="Arial" w:cs="Arial"/>
          <w:b/>
        </w:rPr>
        <w:t>apertura</w:t>
      </w:r>
      <w:r>
        <w:rPr>
          <w:rFonts w:ascii="Arial" w:eastAsia="Arial" w:hAnsi="Arial" w:cs="Arial"/>
        </w:rPr>
        <w:t xml:space="preserve"> institucional en la publicación de la información como son: accesibilidad, lenguaje sencillo, bases abiertas, oportunidad, memoria y archivo, y asimismo ofrezca mecanismos para la consulta y participación con miras a que la información sea ú</w:t>
      </w:r>
      <w:r>
        <w:rPr>
          <w:rFonts w:ascii="Arial" w:eastAsia="Arial" w:hAnsi="Arial" w:cs="Arial"/>
        </w:rPr>
        <w:t>til y permita a las personas su mayor y mejor aprovechamiento.</w:t>
      </w:r>
    </w:p>
    <w:p w14:paraId="3ECFDCFB" w14:textId="77777777" w:rsidR="00067C34" w:rsidRDefault="00BA3CD1">
      <w:pPr>
        <w:numPr>
          <w:ilvl w:val="0"/>
          <w:numId w:val="1"/>
        </w:numPr>
        <w:spacing w:line="360" w:lineRule="auto"/>
        <w:jc w:val="both"/>
        <w:rPr>
          <w:rFonts w:ascii="Arial" w:eastAsia="Arial" w:hAnsi="Arial" w:cs="Arial"/>
          <w:color w:val="000000"/>
        </w:rPr>
      </w:pPr>
      <w:r>
        <w:rPr>
          <w:rFonts w:ascii="Arial" w:eastAsia="Arial" w:hAnsi="Arial" w:cs="Arial"/>
        </w:rPr>
        <w:t xml:space="preserve">En las próximas verificaciones, se seguirán realizando un </w:t>
      </w:r>
      <w:r>
        <w:rPr>
          <w:rFonts w:ascii="Arial" w:eastAsia="Arial" w:hAnsi="Arial" w:cs="Arial"/>
          <w:b/>
        </w:rPr>
        <w:t xml:space="preserve">análisis focalizado </w:t>
      </w:r>
      <w:r>
        <w:rPr>
          <w:rFonts w:ascii="Arial" w:eastAsia="Arial" w:hAnsi="Arial" w:cs="Arial"/>
        </w:rPr>
        <w:t xml:space="preserve">de algunas </w:t>
      </w:r>
      <w:r>
        <w:rPr>
          <w:rFonts w:ascii="Arial" w:eastAsia="Arial" w:hAnsi="Arial" w:cs="Arial"/>
          <w:b/>
        </w:rPr>
        <w:t>obligaciones de transparencia</w:t>
      </w:r>
      <w:r>
        <w:rPr>
          <w:rFonts w:ascii="Arial" w:eastAsia="Arial" w:hAnsi="Arial" w:cs="Arial"/>
        </w:rPr>
        <w:t xml:space="preserve"> en los temas que despiertan gran interés en las personas, particularmente las que tienen que ver con la apertura en el uso de los recursos públicos y la rendición de cuentas como son las </w:t>
      </w:r>
      <w:r>
        <w:rPr>
          <w:rFonts w:ascii="Arial" w:eastAsia="Arial" w:hAnsi="Arial" w:cs="Arial"/>
          <w:b/>
        </w:rPr>
        <w:t>contrataciones</w:t>
      </w:r>
      <w:r>
        <w:rPr>
          <w:rFonts w:ascii="Arial" w:eastAsia="Arial" w:hAnsi="Arial" w:cs="Arial"/>
        </w:rPr>
        <w:t xml:space="preserve">, los </w:t>
      </w:r>
      <w:r>
        <w:rPr>
          <w:rFonts w:ascii="Arial" w:eastAsia="Arial" w:hAnsi="Arial" w:cs="Arial"/>
          <w:b/>
        </w:rPr>
        <w:t>programas sociales</w:t>
      </w:r>
      <w:r>
        <w:rPr>
          <w:rFonts w:ascii="Arial" w:eastAsia="Arial" w:hAnsi="Arial" w:cs="Arial"/>
        </w:rPr>
        <w:t xml:space="preserve"> y las versiones públicas de l</w:t>
      </w:r>
      <w:r>
        <w:rPr>
          <w:rFonts w:ascii="Arial" w:eastAsia="Arial" w:hAnsi="Arial" w:cs="Arial"/>
        </w:rPr>
        <w:t xml:space="preserve">as </w:t>
      </w:r>
      <w:r>
        <w:rPr>
          <w:rFonts w:ascii="Arial" w:eastAsia="Arial" w:hAnsi="Arial" w:cs="Arial"/>
          <w:b/>
        </w:rPr>
        <w:t>declaraciones patrimonial, de intereses y fiscal</w:t>
      </w:r>
      <w:r>
        <w:rPr>
          <w:rFonts w:ascii="Arial" w:eastAsia="Arial" w:hAnsi="Arial" w:cs="Arial"/>
        </w:rPr>
        <w:t xml:space="preserve"> de las personas en el servicio público, entre otros.</w:t>
      </w:r>
    </w:p>
    <w:p w14:paraId="475D553C" w14:textId="77777777" w:rsidR="00067C34" w:rsidRDefault="00BA3CD1">
      <w:pPr>
        <w:numPr>
          <w:ilvl w:val="0"/>
          <w:numId w:val="1"/>
        </w:numPr>
        <w:spacing w:line="360" w:lineRule="auto"/>
        <w:jc w:val="both"/>
        <w:rPr>
          <w:rFonts w:ascii="Arial" w:eastAsia="Arial" w:hAnsi="Arial" w:cs="Arial"/>
          <w:color w:val="000000"/>
        </w:rPr>
      </w:pPr>
      <w:r>
        <w:rPr>
          <w:rFonts w:ascii="Arial" w:eastAsia="Arial" w:hAnsi="Arial" w:cs="Arial"/>
        </w:rPr>
        <w:t xml:space="preserve">Finalmente, la Dirección de Estado Abierto, Estudios y Evaluación seguirá con el estudio a los </w:t>
      </w:r>
      <w:r>
        <w:rPr>
          <w:rFonts w:ascii="Arial" w:eastAsia="Arial" w:hAnsi="Arial" w:cs="Arial"/>
          <w:b/>
        </w:rPr>
        <w:t>lineamientos de evaluación</w:t>
      </w:r>
      <w:r>
        <w:rPr>
          <w:rFonts w:ascii="Arial" w:eastAsia="Arial" w:hAnsi="Arial" w:cs="Arial"/>
        </w:rPr>
        <w:t xml:space="preserve"> con el objetivo implementar m</w:t>
      </w:r>
      <w:r>
        <w:rPr>
          <w:rFonts w:ascii="Arial" w:eastAsia="Arial" w:hAnsi="Arial" w:cs="Arial"/>
        </w:rPr>
        <w:t xml:space="preserve">ejoras, actualizarlos y homologarlos a la normativa aplicable en el Sistema Nacional de Transparencia y en el Sistema Nacional Anticorrupción. </w:t>
      </w:r>
    </w:p>
    <w:p w14:paraId="629BC6A5" w14:textId="77777777" w:rsidR="00067C34" w:rsidRDefault="00067C34">
      <w:pPr>
        <w:pStyle w:val="Ttulo1"/>
        <w:rPr>
          <w:rFonts w:ascii="Arial" w:eastAsia="Arial" w:hAnsi="Arial" w:cs="Arial"/>
          <w:b/>
        </w:rPr>
      </w:pPr>
      <w:bookmarkStart w:id="2" w:name="_heading=h.szjtn41q2juv" w:colFirst="0" w:colLast="0"/>
      <w:bookmarkEnd w:id="2"/>
    </w:p>
    <w:p w14:paraId="0D209EB5" w14:textId="77777777" w:rsidR="00067C34" w:rsidRDefault="00BA3CD1">
      <w:pPr>
        <w:pStyle w:val="Ttulo1"/>
        <w:rPr>
          <w:rFonts w:ascii="Arial" w:eastAsia="Arial" w:hAnsi="Arial" w:cs="Arial"/>
          <w:b/>
          <w:color w:val="000000"/>
          <w:sz w:val="24"/>
          <w:szCs w:val="24"/>
        </w:rPr>
      </w:pPr>
      <w:bookmarkStart w:id="3" w:name="_heading=h.sil52jda92km" w:colFirst="0" w:colLast="0"/>
      <w:bookmarkEnd w:id="3"/>
      <w:r>
        <w:br w:type="page"/>
      </w:r>
    </w:p>
    <w:p w14:paraId="37753569" w14:textId="77777777" w:rsidR="00067C34" w:rsidRDefault="00BA3CD1">
      <w:pPr>
        <w:pStyle w:val="Ttulo1"/>
        <w:rPr>
          <w:rFonts w:ascii="Arial" w:eastAsia="Arial" w:hAnsi="Arial" w:cs="Arial"/>
          <w:b/>
          <w:color w:val="000000"/>
          <w:sz w:val="24"/>
          <w:szCs w:val="24"/>
        </w:rPr>
      </w:pPr>
      <w:bookmarkStart w:id="4" w:name="_heading=h.3as4poj" w:colFirst="0" w:colLast="0"/>
      <w:bookmarkEnd w:id="4"/>
      <w:r>
        <w:rPr>
          <w:rFonts w:ascii="Arial" w:eastAsia="Arial" w:hAnsi="Arial" w:cs="Arial"/>
          <w:b/>
          <w:color w:val="000000"/>
          <w:sz w:val="24"/>
          <w:szCs w:val="24"/>
        </w:rPr>
        <w:t>ANTECEDENTES</w:t>
      </w:r>
    </w:p>
    <w:p w14:paraId="268EC4B4" w14:textId="77777777" w:rsidR="00067C34" w:rsidRDefault="00067C34">
      <w:pPr>
        <w:spacing w:line="360" w:lineRule="auto"/>
        <w:jc w:val="both"/>
        <w:rPr>
          <w:rFonts w:ascii="Arial" w:eastAsia="Arial" w:hAnsi="Arial" w:cs="Arial"/>
          <w:color w:val="000000"/>
        </w:rPr>
      </w:pPr>
    </w:p>
    <w:p w14:paraId="4E1CF2C6" w14:textId="77777777" w:rsidR="00067C34" w:rsidRDefault="00BA3CD1">
      <w:pPr>
        <w:spacing w:line="360" w:lineRule="auto"/>
        <w:jc w:val="both"/>
        <w:rPr>
          <w:rFonts w:ascii="Arial" w:eastAsia="Arial" w:hAnsi="Arial" w:cs="Arial"/>
        </w:rPr>
      </w:pPr>
      <w:r>
        <w:rPr>
          <w:rFonts w:ascii="Arial" w:eastAsia="Arial" w:hAnsi="Arial" w:cs="Arial"/>
        </w:rPr>
        <w:t>De conformidad con lo dispuesto por el artículo 151 de la Ley de Transparencia, y en cumplimiento del Programa Operativo Anual 2020, la Dirección realizó durante los meses de marzo a julio de 2020 la Segunda Evaluación Vinculante de 2020. Se trató de una e</w:t>
      </w:r>
      <w:r>
        <w:rPr>
          <w:rFonts w:ascii="Arial" w:eastAsia="Arial" w:hAnsi="Arial" w:cs="Arial"/>
        </w:rPr>
        <w:t xml:space="preserve">valuación </w:t>
      </w:r>
      <w:r>
        <w:rPr>
          <w:rFonts w:ascii="Arial" w:eastAsia="Arial" w:hAnsi="Arial" w:cs="Arial"/>
          <w:b/>
        </w:rPr>
        <w:t>censal</w:t>
      </w:r>
      <w:r>
        <w:rPr>
          <w:rFonts w:ascii="Arial" w:eastAsia="Arial" w:hAnsi="Arial" w:cs="Arial"/>
        </w:rPr>
        <w:t>, en la que se verificó el cumplimiento de las obligaciones de transparencia por parte de 143 de los 146 sujetos obligados que al término del ejercicio dos mil diecinueve integraban el Padrón de Sujetos Obligados supeditados al cumplimiento</w:t>
      </w:r>
      <w:r>
        <w:rPr>
          <w:rFonts w:ascii="Arial" w:eastAsia="Arial" w:hAnsi="Arial" w:cs="Arial"/>
        </w:rPr>
        <w:t xml:space="preserve"> de la Ley de Transparencia, Acceso a la Información Pública y Rendición de Cuentas de la Ciudad de México y de la Ley de Protección de Datos Personales en Posesión de los Sujetos Obligados de la Ciudad de México (Padrón). </w:t>
      </w:r>
    </w:p>
    <w:p w14:paraId="479A7769" w14:textId="77777777" w:rsidR="00067C34" w:rsidRDefault="00067C34">
      <w:pPr>
        <w:spacing w:line="360" w:lineRule="auto"/>
        <w:jc w:val="both"/>
        <w:rPr>
          <w:rFonts w:ascii="Arial" w:eastAsia="Arial" w:hAnsi="Arial" w:cs="Arial"/>
        </w:rPr>
      </w:pPr>
    </w:p>
    <w:p w14:paraId="0BE3DD0D" w14:textId="77777777" w:rsidR="00067C34" w:rsidRDefault="00BA3CD1">
      <w:pPr>
        <w:spacing w:line="360" w:lineRule="auto"/>
        <w:jc w:val="both"/>
        <w:rPr>
          <w:rFonts w:ascii="Arial" w:eastAsia="Arial" w:hAnsi="Arial" w:cs="Arial"/>
        </w:rPr>
      </w:pPr>
      <w:r>
        <w:rPr>
          <w:rFonts w:ascii="Arial" w:eastAsia="Arial" w:hAnsi="Arial" w:cs="Arial"/>
        </w:rPr>
        <w:t>Dicha evaluación tuvo el propós</w:t>
      </w:r>
      <w:r>
        <w:rPr>
          <w:rFonts w:ascii="Arial" w:eastAsia="Arial" w:hAnsi="Arial" w:cs="Arial"/>
        </w:rPr>
        <w:t>ito de identificar las áreas de oportunidad en materia de publicación y actualización de sus obligaciones transparencia, y emitir los dictámenes con los requerimientos, recomendaciones y observaciones correspondientes al ejercicio dos mil diecinueve, a fin</w:t>
      </w:r>
      <w:r>
        <w:rPr>
          <w:rFonts w:ascii="Arial" w:eastAsia="Arial" w:hAnsi="Arial" w:cs="Arial"/>
        </w:rPr>
        <w:t xml:space="preserve"> de que la información se encuentre publicada de manera completa y actualizada.  </w:t>
      </w:r>
    </w:p>
    <w:p w14:paraId="3FA3F066" w14:textId="77777777" w:rsidR="00067C34" w:rsidRDefault="00067C34">
      <w:pPr>
        <w:spacing w:line="360" w:lineRule="auto"/>
        <w:jc w:val="both"/>
        <w:rPr>
          <w:rFonts w:ascii="Arial" w:eastAsia="Arial" w:hAnsi="Arial" w:cs="Arial"/>
        </w:rPr>
      </w:pPr>
    </w:p>
    <w:p w14:paraId="0F4A4722" w14:textId="77777777" w:rsidR="00067C34" w:rsidRDefault="00BA3CD1">
      <w:pPr>
        <w:spacing w:line="360" w:lineRule="auto"/>
        <w:jc w:val="both"/>
        <w:rPr>
          <w:rFonts w:ascii="Arial" w:eastAsia="Arial" w:hAnsi="Arial" w:cs="Arial"/>
        </w:rPr>
      </w:pPr>
      <w:r>
        <w:rPr>
          <w:rFonts w:ascii="Arial" w:eastAsia="Arial" w:hAnsi="Arial" w:cs="Arial"/>
        </w:rPr>
        <w:t xml:space="preserve">Los tres sujetos obligados que no fueron objeto de la Segunda Evaluación Vinculante de 2020 fueron el Fideicomiso para la Reconstrucción Integral de la Ciudad de México, la </w:t>
      </w:r>
      <w:r>
        <w:rPr>
          <w:rFonts w:ascii="Arial" w:eastAsia="Arial" w:hAnsi="Arial" w:cs="Arial"/>
        </w:rPr>
        <w:t>Comisión de Atención a Víctimas de la Ciudad de México y la Comisión de Búsqueda de Personas de la Ciudad de México ya que dichos sujetos obligados fueron incorporados al Padrón el 7 de diciembre de 2019, mediante acuerdo número 3879/SO/07-12/2019 del Plen</w:t>
      </w:r>
      <w:r>
        <w:rPr>
          <w:rFonts w:ascii="Arial" w:eastAsia="Arial" w:hAnsi="Arial" w:cs="Arial"/>
        </w:rPr>
        <w:t>o del Instituto. De conformidad con el Artículo Transitorio Tercero del acuerdo antes señalado, se les otorgó a estas entidades públicas un plazo de sesenta días para dar cumplimiento a las obligaciones establecidas en la Ley de Transparencia, plazo que co</w:t>
      </w:r>
      <w:r>
        <w:rPr>
          <w:rFonts w:ascii="Arial" w:eastAsia="Arial" w:hAnsi="Arial" w:cs="Arial"/>
        </w:rPr>
        <w:t xml:space="preserve">ntinuaba vigente al momento de iniciar la Segunda Evaluación 2020, por lo que se consideró que a estos sujetos obligados serían evaluados posteriormente. </w:t>
      </w:r>
    </w:p>
    <w:p w14:paraId="2F97A12B" w14:textId="77777777" w:rsidR="00067C34" w:rsidRDefault="00067C34">
      <w:pPr>
        <w:spacing w:line="360" w:lineRule="auto"/>
        <w:jc w:val="both"/>
        <w:rPr>
          <w:rFonts w:ascii="Arial" w:eastAsia="Arial" w:hAnsi="Arial" w:cs="Arial"/>
        </w:rPr>
      </w:pPr>
    </w:p>
    <w:p w14:paraId="670EC2D7" w14:textId="77777777" w:rsidR="00067C34" w:rsidRDefault="00BA3CD1">
      <w:pPr>
        <w:spacing w:line="360" w:lineRule="auto"/>
        <w:jc w:val="both"/>
        <w:rPr>
          <w:rFonts w:ascii="Arial" w:eastAsia="Arial" w:hAnsi="Arial" w:cs="Arial"/>
        </w:rPr>
      </w:pPr>
      <w:r>
        <w:rPr>
          <w:rFonts w:ascii="Arial" w:eastAsia="Arial" w:hAnsi="Arial" w:cs="Arial"/>
        </w:rPr>
        <w:t>Así, la Segunda Evaluación Vinculante 2020 concluyó en la primera quincena de julio y revisó el cump</w:t>
      </w:r>
      <w:r>
        <w:rPr>
          <w:rFonts w:ascii="Arial" w:eastAsia="Arial" w:hAnsi="Arial" w:cs="Arial"/>
        </w:rPr>
        <w:t xml:space="preserve">limiento de las obligaciones de transparencia por parte de 143 de los 146 sujetos obligados que al término del ejercicio 2019 integraban el Padrón. Los dictámenes correspondientes con las recomendaciones y observaciones derivadas de la verificación fueron </w:t>
      </w:r>
      <w:r>
        <w:rPr>
          <w:rFonts w:ascii="Arial" w:eastAsia="Arial" w:hAnsi="Arial" w:cs="Arial"/>
        </w:rPr>
        <w:t xml:space="preserve">aprobados por el Pleno el 2 de octubre de 2020, mediante el acuerdo 1287/SE/02-10/2020.  </w:t>
      </w:r>
    </w:p>
    <w:p w14:paraId="3C55923D" w14:textId="77777777" w:rsidR="00067C34" w:rsidRDefault="00067C34">
      <w:pPr>
        <w:spacing w:line="360" w:lineRule="auto"/>
        <w:jc w:val="both"/>
        <w:rPr>
          <w:rFonts w:ascii="Arial" w:eastAsia="Arial" w:hAnsi="Arial" w:cs="Arial"/>
        </w:rPr>
      </w:pPr>
    </w:p>
    <w:p w14:paraId="39D809B9" w14:textId="77777777" w:rsidR="00067C34" w:rsidRDefault="00BA3CD1">
      <w:pPr>
        <w:spacing w:line="360" w:lineRule="auto"/>
        <w:jc w:val="both"/>
        <w:rPr>
          <w:rFonts w:ascii="Arial" w:eastAsia="Arial" w:hAnsi="Arial" w:cs="Arial"/>
        </w:rPr>
      </w:pPr>
      <w:r>
        <w:rPr>
          <w:rFonts w:ascii="Arial" w:eastAsia="Arial" w:hAnsi="Arial" w:cs="Arial"/>
        </w:rPr>
        <w:t xml:space="preserve">En la Segunda Evaluación Vinculante 2020, veinticuatro sujetos obligados alcanzaron un Índice General de Cumplimiento de Obligaciones de Transparencia (IGOT) de 100 </w:t>
      </w:r>
      <w:r>
        <w:rPr>
          <w:rFonts w:ascii="Arial" w:eastAsia="Arial" w:hAnsi="Arial" w:cs="Arial"/>
        </w:rPr>
        <w:t xml:space="preserve">puntos, con lo que se considera que atendieron el piso mínimo establecido por la Ley Local. Los sujetos obligados son los siguientes:     </w:t>
      </w:r>
    </w:p>
    <w:p w14:paraId="2FF9D6B3" w14:textId="77777777" w:rsidR="00067C34" w:rsidRDefault="00067C34">
      <w:pPr>
        <w:spacing w:line="360" w:lineRule="auto"/>
        <w:jc w:val="both"/>
        <w:rPr>
          <w:rFonts w:ascii="Arial" w:eastAsia="Arial" w:hAnsi="Arial" w:cs="Arial"/>
        </w:rPr>
      </w:pPr>
    </w:p>
    <w:p w14:paraId="1EAE585D" w14:textId="77777777" w:rsidR="00067C34" w:rsidRDefault="00BA3CD1">
      <w:pPr>
        <w:spacing w:line="360" w:lineRule="auto"/>
        <w:jc w:val="both"/>
        <w:rPr>
          <w:rFonts w:ascii="Arial" w:eastAsia="Arial" w:hAnsi="Arial" w:cs="Arial"/>
        </w:rPr>
      </w:pPr>
      <w:r>
        <w:rPr>
          <w:rFonts w:ascii="Arial" w:eastAsia="Arial" w:hAnsi="Arial" w:cs="Arial"/>
          <w:b/>
        </w:rPr>
        <w:t xml:space="preserve">Administración pública central </w:t>
      </w:r>
      <w:r>
        <w:rPr>
          <w:rFonts w:ascii="Arial" w:eastAsia="Arial" w:hAnsi="Arial" w:cs="Arial"/>
        </w:rPr>
        <w:t>(trece sujetos obligados): Consejería Jurídica y de Servicios Legales, Jefatura de Go</w:t>
      </w:r>
      <w:r>
        <w:rPr>
          <w:rFonts w:ascii="Arial" w:eastAsia="Arial" w:hAnsi="Arial" w:cs="Arial"/>
        </w:rPr>
        <w:t>bierno de la Ciudad de México, Procuraduría General de Justicia de la Ciudad de México, Secretaría de Administración y Finanzas, Secretaría de Gestión Integral de Riesgos y Protección, Secretaría de Gobierno, Secretaría de Inclusión y Bienestar Social, Sec</w:t>
      </w:r>
      <w:r>
        <w:rPr>
          <w:rFonts w:ascii="Arial" w:eastAsia="Arial" w:hAnsi="Arial" w:cs="Arial"/>
        </w:rPr>
        <w:t xml:space="preserve">retaría de la Contraloría General, Secretaría de Movilidad, Secretaría de Pueblos y Barrios Originarios y Comunidades Indígenas Residentes, Secretaría de Salud, Secretaría de Seguridad Ciudadana, y Secretaría de Trabajo y Fomento al Empleo. </w:t>
      </w:r>
    </w:p>
    <w:p w14:paraId="21809844" w14:textId="77777777" w:rsidR="00067C34" w:rsidRDefault="00067C34">
      <w:pPr>
        <w:spacing w:line="360" w:lineRule="auto"/>
        <w:jc w:val="both"/>
        <w:rPr>
          <w:rFonts w:ascii="Arial" w:eastAsia="Arial" w:hAnsi="Arial" w:cs="Arial"/>
        </w:rPr>
      </w:pPr>
    </w:p>
    <w:p w14:paraId="5D5E302F" w14:textId="77777777" w:rsidR="00067C34" w:rsidRDefault="00BA3CD1">
      <w:pPr>
        <w:spacing w:line="360" w:lineRule="auto"/>
        <w:jc w:val="both"/>
        <w:rPr>
          <w:rFonts w:ascii="Arial" w:eastAsia="Arial" w:hAnsi="Arial" w:cs="Arial"/>
        </w:rPr>
      </w:pPr>
      <w:r>
        <w:rPr>
          <w:rFonts w:ascii="Arial" w:eastAsia="Arial" w:hAnsi="Arial" w:cs="Arial"/>
          <w:b/>
        </w:rPr>
        <w:t>Organismos de</w:t>
      </w:r>
      <w:r>
        <w:rPr>
          <w:rFonts w:ascii="Arial" w:eastAsia="Arial" w:hAnsi="Arial" w:cs="Arial"/>
          <w:b/>
        </w:rPr>
        <w:t>sconcentrados, descentralizados, paraestatales, auxiliares, fondos y fideicomisos</w:t>
      </w:r>
      <w:r>
        <w:rPr>
          <w:rFonts w:ascii="Arial" w:eastAsia="Arial" w:hAnsi="Arial" w:cs="Arial"/>
        </w:rPr>
        <w:t xml:space="preserve"> (cuatro sujetos obligados): Centro de Comando, Control, Cómputo, Comunicaciones y Contacto Ciudadano de la Ciudad de México; Fondo Mixto de Promoción Turística de la Ciudad d</w:t>
      </w:r>
      <w:r>
        <w:rPr>
          <w:rFonts w:ascii="Arial" w:eastAsia="Arial" w:hAnsi="Arial" w:cs="Arial"/>
        </w:rPr>
        <w:t xml:space="preserve">e México; Red de Transporte Público de Pasajeros de la Ciudad de México; y Secretaría Ejecutiva del Mecanismo de Seguimiento y Evaluación del Programa de Derechos Humanos de la Ciudad de México. </w:t>
      </w:r>
    </w:p>
    <w:p w14:paraId="016B5FDB" w14:textId="77777777" w:rsidR="00067C34" w:rsidRDefault="00067C34">
      <w:pPr>
        <w:spacing w:line="360" w:lineRule="auto"/>
        <w:jc w:val="both"/>
        <w:rPr>
          <w:rFonts w:ascii="Arial" w:eastAsia="Arial" w:hAnsi="Arial" w:cs="Arial"/>
        </w:rPr>
      </w:pPr>
    </w:p>
    <w:p w14:paraId="0F4913CD" w14:textId="77777777" w:rsidR="00067C34" w:rsidRDefault="00BA3CD1">
      <w:pPr>
        <w:spacing w:line="360" w:lineRule="auto"/>
        <w:jc w:val="both"/>
        <w:rPr>
          <w:rFonts w:ascii="Arial" w:eastAsia="Arial" w:hAnsi="Arial" w:cs="Arial"/>
        </w:rPr>
      </w:pPr>
      <w:r>
        <w:rPr>
          <w:rFonts w:ascii="Arial" w:eastAsia="Arial" w:hAnsi="Arial" w:cs="Arial"/>
          <w:b/>
        </w:rPr>
        <w:t>Alcaldías</w:t>
      </w:r>
      <w:r>
        <w:rPr>
          <w:rFonts w:ascii="Arial" w:eastAsia="Arial" w:hAnsi="Arial" w:cs="Arial"/>
        </w:rPr>
        <w:t>, (cinco sujetos obligados): Alcaldía Azcapotzalco</w:t>
      </w:r>
      <w:r>
        <w:rPr>
          <w:rFonts w:ascii="Arial" w:eastAsia="Arial" w:hAnsi="Arial" w:cs="Arial"/>
        </w:rPr>
        <w:t xml:space="preserve">, Alcaldía Cuajimalpa de Morelos, Alcaldía Cuauhtémoc, Alcaldía La Magdalena Contreras y Alcaldía Tláhuac. </w:t>
      </w:r>
    </w:p>
    <w:p w14:paraId="01895EA4" w14:textId="77777777" w:rsidR="00067C34" w:rsidRDefault="00067C34">
      <w:pPr>
        <w:spacing w:line="360" w:lineRule="auto"/>
        <w:jc w:val="both"/>
        <w:rPr>
          <w:rFonts w:ascii="Arial" w:eastAsia="Arial" w:hAnsi="Arial" w:cs="Arial"/>
        </w:rPr>
      </w:pPr>
    </w:p>
    <w:p w14:paraId="0E007D47" w14:textId="77777777" w:rsidR="00067C34" w:rsidRDefault="00BA3CD1">
      <w:pPr>
        <w:spacing w:line="360" w:lineRule="auto"/>
        <w:jc w:val="both"/>
        <w:rPr>
          <w:rFonts w:ascii="Arial" w:eastAsia="Arial" w:hAnsi="Arial" w:cs="Arial"/>
        </w:rPr>
      </w:pPr>
      <w:r>
        <w:rPr>
          <w:rFonts w:ascii="Arial" w:eastAsia="Arial" w:hAnsi="Arial" w:cs="Arial"/>
          <w:b/>
        </w:rPr>
        <w:t>Órganos autónomos</w:t>
      </w:r>
      <w:r>
        <w:rPr>
          <w:rFonts w:ascii="Arial" w:eastAsia="Arial" w:hAnsi="Arial" w:cs="Arial"/>
        </w:rPr>
        <w:t xml:space="preserve"> (dos sujetos obligados): Instituto Electoral de la Ciudad de México y Tribunal de Justicia Administrativa de la Ciudad de México.</w:t>
      </w:r>
      <w:r>
        <w:rPr>
          <w:rFonts w:ascii="Arial" w:eastAsia="Arial" w:hAnsi="Arial" w:cs="Arial"/>
        </w:rPr>
        <w:t xml:space="preserve"> </w:t>
      </w:r>
    </w:p>
    <w:p w14:paraId="43D2D7C3" w14:textId="77777777" w:rsidR="00067C34" w:rsidRDefault="00067C34">
      <w:pPr>
        <w:spacing w:line="360" w:lineRule="auto"/>
        <w:jc w:val="both"/>
        <w:rPr>
          <w:rFonts w:ascii="Arial" w:eastAsia="Arial" w:hAnsi="Arial" w:cs="Arial"/>
        </w:rPr>
      </w:pPr>
    </w:p>
    <w:p w14:paraId="0AAC1BB3" w14:textId="77777777" w:rsidR="00067C34" w:rsidRDefault="00BA3CD1">
      <w:pPr>
        <w:spacing w:line="360" w:lineRule="auto"/>
        <w:jc w:val="both"/>
        <w:rPr>
          <w:rFonts w:ascii="Arial" w:eastAsia="Arial" w:hAnsi="Arial" w:cs="Arial"/>
        </w:rPr>
      </w:pPr>
      <w:r>
        <w:rPr>
          <w:rFonts w:ascii="Arial" w:eastAsia="Arial" w:hAnsi="Arial" w:cs="Arial"/>
        </w:rPr>
        <w:t>A los 119 sujetos obligados que obtuvieron un Índice Global de Cumplimiento de Obligaciones de Transparencia (IGOT) menor a cien puntos, se les hicieron recomendaciones vinculantes u observaciones para dar cumplimiento cabal al piso mínimo de obligacion</w:t>
      </w:r>
      <w:r>
        <w:rPr>
          <w:rFonts w:ascii="Arial" w:eastAsia="Arial" w:hAnsi="Arial" w:cs="Arial"/>
        </w:rPr>
        <w:t xml:space="preserve">es en materia de transparencia de acuerdo con la Ley Local. El cumplimiento que se registró fue el siguiente: ochenta y seis sujetos obligados alcanzaron un IGOT entre noventa y nueve y sesenta puntos, es decir, tuvieron un </w:t>
      </w:r>
      <w:r>
        <w:rPr>
          <w:rFonts w:ascii="Arial" w:eastAsia="Arial" w:hAnsi="Arial" w:cs="Arial"/>
          <w:b/>
        </w:rPr>
        <w:t>cumplimiento parcial</w:t>
      </w:r>
      <w:r>
        <w:rPr>
          <w:rFonts w:ascii="Arial" w:eastAsia="Arial" w:hAnsi="Arial" w:cs="Arial"/>
        </w:rPr>
        <w:t>; veinticinc</w:t>
      </w:r>
      <w:r>
        <w:rPr>
          <w:rFonts w:ascii="Arial" w:eastAsia="Arial" w:hAnsi="Arial" w:cs="Arial"/>
        </w:rPr>
        <w:t xml:space="preserve">o sujetos obligados alcanzaron un (IGOT) entre cincuenta y nueve y un punto, por lo que tienen un </w:t>
      </w:r>
      <w:r>
        <w:rPr>
          <w:rFonts w:ascii="Arial" w:eastAsia="Arial" w:hAnsi="Arial" w:cs="Arial"/>
          <w:b/>
        </w:rPr>
        <w:t>incumplimiento parcial</w:t>
      </w:r>
      <w:r>
        <w:rPr>
          <w:rFonts w:ascii="Arial" w:eastAsia="Arial" w:hAnsi="Arial" w:cs="Arial"/>
        </w:rPr>
        <w:t xml:space="preserve"> y, ocho sujetos obligados obtuvieron un IGOT de cero puntos, en otros términos, presentan un </w:t>
      </w:r>
      <w:r>
        <w:rPr>
          <w:rFonts w:ascii="Arial" w:eastAsia="Arial" w:hAnsi="Arial" w:cs="Arial"/>
          <w:b/>
        </w:rPr>
        <w:t>incumplimiento total</w:t>
      </w:r>
      <w:r>
        <w:rPr>
          <w:rFonts w:ascii="Arial" w:eastAsia="Arial" w:hAnsi="Arial" w:cs="Arial"/>
        </w:rPr>
        <w:t xml:space="preserve">. </w:t>
      </w:r>
    </w:p>
    <w:p w14:paraId="07AF5CED" w14:textId="77777777" w:rsidR="00067C34" w:rsidRDefault="00067C34">
      <w:pPr>
        <w:spacing w:line="360" w:lineRule="auto"/>
        <w:jc w:val="both"/>
        <w:rPr>
          <w:rFonts w:ascii="Arial" w:eastAsia="Arial" w:hAnsi="Arial" w:cs="Arial"/>
        </w:rPr>
      </w:pPr>
    </w:p>
    <w:p w14:paraId="6D8C9ABB" w14:textId="77777777" w:rsidR="00067C34" w:rsidRDefault="00BA3CD1">
      <w:pPr>
        <w:spacing w:line="360" w:lineRule="auto"/>
        <w:jc w:val="both"/>
        <w:rPr>
          <w:rFonts w:ascii="Arial" w:eastAsia="Arial" w:hAnsi="Arial" w:cs="Arial"/>
        </w:rPr>
      </w:pPr>
      <w:r>
        <w:rPr>
          <w:rFonts w:ascii="Arial" w:eastAsia="Arial" w:hAnsi="Arial" w:cs="Arial"/>
        </w:rPr>
        <w:t xml:space="preserve">Cabe señalar que, </w:t>
      </w:r>
      <w:r>
        <w:rPr>
          <w:rFonts w:ascii="Arial" w:eastAsia="Arial" w:hAnsi="Arial" w:cs="Arial"/>
        </w:rPr>
        <w:t>en atención al ordinal tercero del Acuerdo 1287/SE/02-10/2020, la Dirección notificó a los 119 sujetos obligados dicho Acuerdo el lunes 5 de octubre de 2020. El mismo acuerdo estableció un plazo de quince días hábiles, contados a partir del día siguiente d</w:t>
      </w:r>
      <w:r>
        <w:rPr>
          <w:rFonts w:ascii="Arial" w:eastAsia="Arial" w:hAnsi="Arial" w:cs="Arial"/>
        </w:rPr>
        <w:t>e su notificación para atender las recomendaciones y observaciones, así señalado en el ordinal cuarto del Acuerdo y de conformidad con la fracción II del artículo 154 de la Ley de Transparencia. El plazo de atención a las observaciones concluyó el 28 de oc</w:t>
      </w:r>
      <w:r>
        <w:rPr>
          <w:rFonts w:ascii="Arial" w:eastAsia="Arial" w:hAnsi="Arial" w:cs="Arial"/>
        </w:rPr>
        <w:t>tubre de 2020. Por tanto, con apego en el artículo 154 de la Ley Local, se comenzó a verificar que los sujetos obligados hubieran solventado los requerimientos, recomendaciones y observaciones notificadas y en uso de las atribuciones conferidas por las fra</w:t>
      </w:r>
      <w:r>
        <w:rPr>
          <w:rFonts w:ascii="Arial" w:eastAsia="Arial" w:hAnsi="Arial" w:cs="Arial"/>
        </w:rPr>
        <w:t xml:space="preserve">cciones XI y XII del artículo 22 del Reglamento Interior, la Dirección de Estado Abierto, Estudios y Evaluación inició la verificación de los 119 sujetos obligados el 29 de octubre de 2020 y concluyó el 25 de noviembre de 2020.  </w:t>
      </w:r>
    </w:p>
    <w:p w14:paraId="4618DF56" w14:textId="77777777" w:rsidR="00067C34" w:rsidRDefault="00067C34">
      <w:pPr>
        <w:spacing w:line="360" w:lineRule="auto"/>
        <w:jc w:val="both"/>
        <w:rPr>
          <w:rFonts w:ascii="Arial" w:eastAsia="Arial" w:hAnsi="Arial" w:cs="Arial"/>
          <w:color w:val="000000"/>
        </w:rPr>
      </w:pPr>
    </w:p>
    <w:p w14:paraId="433CB332" w14:textId="77777777" w:rsidR="00067C34" w:rsidRDefault="00BA3CD1">
      <w:pPr>
        <w:spacing w:line="360" w:lineRule="auto"/>
        <w:jc w:val="both"/>
        <w:rPr>
          <w:rFonts w:ascii="Arial" w:eastAsia="Arial" w:hAnsi="Arial" w:cs="Arial"/>
          <w:color w:val="000000"/>
        </w:rPr>
      </w:pPr>
      <w:r>
        <w:rPr>
          <w:rFonts w:ascii="Arial" w:eastAsia="Arial" w:hAnsi="Arial" w:cs="Arial"/>
        </w:rPr>
        <w:t>De esta forma en la Evaluación de Solventación o Tercera Evaluación Vinculante 2020</w:t>
      </w:r>
      <w:r>
        <w:rPr>
          <w:rFonts w:ascii="Arial" w:eastAsia="Arial" w:hAnsi="Arial" w:cs="Arial"/>
          <w:color w:val="000000"/>
        </w:rPr>
        <w:t>, se verificó el cumplimiento de las recomendaciones y observaciones emitidas en la Segunda Evaluación Vinculante 2020, con el fin de que la información publicada en la Plat</w:t>
      </w:r>
      <w:r>
        <w:rPr>
          <w:rFonts w:ascii="Arial" w:eastAsia="Arial" w:hAnsi="Arial" w:cs="Arial"/>
          <w:color w:val="000000"/>
        </w:rPr>
        <w:t xml:space="preserve">aforma Nacional de Transparencia y en los portales de Internet de los sujetos obligados estuviera completa y actualizada </w:t>
      </w:r>
      <w:r>
        <w:rPr>
          <w:rFonts w:ascii="Arial" w:eastAsia="Arial" w:hAnsi="Arial" w:cs="Arial"/>
        </w:rPr>
        <w:t xml:space="preserve">para el ejercicio 2019 y </w:t>
      </w:r>
      <w:r>
        <w:rPr>
          <w:rFonts w:ascii="Arial" w:eastAsia="Arial" w:hAnsi="Arial" w:cs="Arial"/>
          <w:color w:val="000000"/>
        </w:rPr>
        <w:t>que se conservara, en ambas plataformas, la información correspondiente a los ejercicios anteriores, de confor</w:t>
      </w:r>
      <w:r>
        <w:rPr>
          <w:rFonts w:ascii="Arial" w:eastAsia="Arial" w:hAnsi="Arial" w:cs="Arial"/>
          <w:color w:val="000000"/>
        </w:rPr>
        <w:t>midad con la tabla de actualización y conservación de la información incluida en los Lineamientos de Evaluación.</w:t>
      </w:r>
    </w:p>
    <w:p w14:paraId="0AB34D8C" w14:textId="77777777" w:rsidR="00067C34" w:rsidRDefault="00067C34">
      <w:pPr>
        <w:spacing w:line="360" w:lineRule="auto"/>
        <w:jc w:val="both"/>
        <w:rPr>
          <w:rFonts w:ascii="Arial" w:eastAsia="Arial" w:hAnsi="Arial" w:cs="Arial"/>
          <w:color w:val="000000"/>
        </w:rPr>
      </w:pPr>
    </w:p>
    <w:p w14:paraId="1BB2B92C"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Como producto de esta Evaluación de So</w:t>
      </w:r>
      <w:r>
        <w:rPr>
          <w:rFonts w:ascii="Arial" w:eastAsia="Arial" w:hAnsi="Arial" w:cs="Arial"/>
        </w:rPr>
        <w:t>lventación</w:t>
      </w:r>
      <w:r>
        <w:rPr>
          <w:rFonts w:ascii="Arial" w:eastAsia="Arial" w:hAnsi="Arial" w:cs="Arial"/>
          <w:color w:val="000000"/>
        </w:rPr>
        <w:t xml:space="preserve"> y en atención a lo dispuesto por el artículo 154, fracción II, de la Ley de Transparencia, la</w:t>
      </w:r>
      <w:r>
        <w:rPr>
          <w:rFonts w:ascii="Arial" w:eastAsia="Arial" w:hAnsi="Arial" w:cs="Arial"/>
          <w:color w:val="000000"/>
        </w:rPr>
        <w:t xml:space="preserve"> Dirección proyectó, para consideración por el Pleno del Instituto, un dictamen que contiene los resultados de la evaluación de las recomendaciones y observaciones del cumplimiento de las obligaciones de transparencia comunes, específicas y las disposicion</w:t>
      </w:r>
      <w:r>
        <w:rPr>
          <w:rFonts w:ascii="Arial" w:eastAsia="Arial" w:hAnsi="Arial" w:cs="Arial"/>
          <w:color w:val="000000"/>
        </w:rPr>
        <w:t xml:space="preserve">es particulares previstas por la mencionada Ley, por sujeto obligado. </w:t>
      </w:r>
    </w:p>
    <w:p w14:paraId="32768123" w14:textId="77777777" w:rsidR="00067C34" w:rsidRDefault="00067C34">
      <w:pPr>
        <w:spacing w:line="360" w:lineRule="auto"/>
        <w:jc w:val="both"/>
        <w:rPr>
          <w:rFonts w:ascii="Arial" w:eastAsia="Arial" w:hAnsi="Arial" w:cs="Arial"/>
          <w:color w:val="000000"/>
        </w:rPr>
      </w:pPr>
    </w:p>
    <w:p w14:paraId="0744DF61"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En función de los resultados obtenidos en la evaluación correspondiente por cada sujeto obligado, cada dictamen indica un conjunto de nuevas recomendaciones vinculantes y observaciones</w:t>
      </w:r>
      <w:r>
        <w:rPr>
          <w:rFonts w:ascii="Arial" w:eastAsia="Arial" w:hAnsi="Arial" w:cs="Arial"/>
          <w:color w:val="000000"/>
        </w:rPr>
        <w:t xml:space="preserve"> relativas al nivel de cumplimiento en la publicación y actualización de las obligaciones mínimas de transparencia previstas en la Ley local de la materia; las recomendaciones vinculantes atañen a fallos en la publicación o actualización de la información </w:t>
      </w:r>
      <w:r>
        <w:rPr>
          <w:rFonts w:ascii="Arial" w:eastAsia="Arial" w:hAnsi="Arial" w:cs="Arial"/>
          <w:color w:val="000000"/>
        </w:rPr>
        <w:t xml:space="preserve">correspondiente, los cuales deben ser corregidos; las observaciones, en cambio, se refieren a áreas de oportunidad detectadas y no son obligatorias para los sujetos obligados. </w:t>
      </w:r>
    </w:p>
    <w:p w14:paraId="783A4089" w14:textId="77777777" w:rsidR="00067C34" w:rsidRDefault="00067C34">
      <w:pPr>
        <w:spacing w:line="360" w:lineRule="auto"/>
        <w:jc w:val="both"/>
        <w:rPr>
          <w:rFonts w:ascii="Arial" w:eastAsia="Arial" w:hAnsi="Arial" w:cs="Arial"/>
        </w:rPr>
      </w:pPr>
    </w:p>
    <w:p w14:paraId="6DCABFBA" w14:textId="77777777" w:rsidR="00067C34" w:rsidRDefault="00067C34">
      <w:pPr>
        <w:spacing w:line="360" w:lineRule="auto"/>
        <w:jc w:val="both"/>
        <w:rPr>
          <w:rFonts w:ascii="Arial" w:eastAsia="Arial" w:hAnsi="Arial" w:cs="Arial"/>
        </w:rPr>
      </w:pPr>
    </w:p>
    <w:p w14:paraId="162A3B6F" w14:textId="77777777" w:rsidR="00067C34" w:rsidRDefault="00BA3CD1">
      <w:pPr>
        <w:pStyle w:val="Ttulo1"/>
        <w:rPr>
          <w:rFonts w:ascii="Arial" w:eastAsia="Arial" w:hAnsi="Arial" w:cs="Arial"/>
          <w:b/>
          <w:color w:val="000000"/>
          <w:sz w:val="24"/>
          <w:szCs w:val="24"/>
        </w:rPr>
      </w:pPr>
      <w:bookmarkStart w:id="5" w:name="_heading=h.1pxezwc" w:colFirst="0" w:colLast="0"/>
      <w:bookmarkEnd w:id="5"/>
      <w:r>
        <w:rPr>
          <w:rFonts w:ascii="Arial" w:eastAsia="Arial" w:hAnsi="Arial" w:cs="Arial"/>
          <w:b/>
          <w:color w:val="000000"/>
          <w:sz w:val="24"/>
          <w:szCs w:val="24"/>
        </w:rPr>
        <w:t xml:space="preserve">METODOLOGÍA </w:t>
      </w:r>
    </w:p>
    <w:p w14:paraId="6D36C459" w14:textId="77777777" w:rsidR="00067C34" w:rsidRDefault="00067C34">
      <w:pPr>
        <w:spacing w:line="360" w:lineRule="auto"/>
        <w:jc w:val="both"/>
        <w:rPr>
          <w:rFonts w:ascii="Arial" w:eastAsia="Arial" w:hAnsi="Arial" w:cs="Arial"/>
          <w:color w:val="000000"/>
        </w:rPr>
      </w:pPr>
    </w:p>
    <w:p w14:paraId="69177EEB"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A partir de los resultados de la evaluación de sol</w:t>
      </w:r>
      <w:r>
        <w:rPr>
          <w:rFonts w:ascii="Arial" w:eastAsia="Arial" w:hAnsi="Arial" w:cs="Arial"/>
        </w:rPr>
        <w:t>ventación</w:t>
      </w:r>
      <w:r>
        <w:rPr>
          <w:rFonts w:ascii="Arial" w:eastAsia="Arial" w:hAnsi="Arial" w:cs="Arial"/>
          <w:color w:val="000000"/>
        </w:rPr>
        <w:t>, se</w:t>
      </w:r>
      <w:r>
        <w:rPr>
          <w:rFonts w:ascii="Arial" w:eastAsia="Arial" w:hAnsi="Arial" w:cs="Arial"/>
          <w:color w:val="000000"/>
        </w:rPr>
        <w:t xml:space="preserve"> generó el Índice General de Cumplimiento de Obligaciones de Transparencia (IGOT) de los sujetos obligados, el cual contiene el resultado numérico de la evaluación correspondiente. Dicho índice se construye con la sumatoria del Índice de Cumplimiento de Ob</w:t>
      </w:r>
      <w:r>
        <w:rPr>
          <w:rFonts w:ascii="Arial" w:eastAsia="Arial" w:hAnsi="Arial" w:cs="Arial"/>
          <w:color w:val="000000"/>
        </w:rPr>
        <w:t>ligaciones de Transparencia del Portal de Internet (ICOT-PI) y el de la Plataforma Nacional de Transparencia (ICOT-PNT). En específico, tanto el ICOT-PI como el ICOT-PNT se integran con los resultados de la evaluación del cumplimiento de las obligaciones c</w:t>
      </w:r>
      <w:r>
        <w:rPr>
          <w:rFonts w:ascii="Arial" w:eastAsia="Arial" w:hAnsi="Arial" w:cs="Arial"/>
          <w:color w:val="000000"/>
        </w:rPr>
        <w:t xml:space="preserve">omunes y en materia de programas sociales, de ayudas, subsidios, estímulos y apoyos, referidos en los artículos 121 y 122 respectivamente; las obligaciones específicas consistentes en los artículos 123 al 140, y las disposiciones particulares contempladas </w:t>
      </w:r>
      <w:r>
        <w:rPr>
          <w:rFonts w:ascii="Arial" w:eastAsia="Arial" w:hAnsi="Arial" w:cs="Arial"/>
          <w:color w:val="000000"/>
        </w:rPr>
        <w:t xml:space="preserve">en los artículos 141 al 147, todos de la Ley de Transparencia. </w:t>
      </w:r>
    </w:p>
    <w:p w14:paraId="456CEF7D" w14:textId="77777777" w:rsidR="00067C34" w:rsidRDefault="00067C34">
      <w:pPr>
        <w:spacing w:line="360" w:lineRule="auto"/>
        <w:jc w:val="both"/>
        <w:rPr>
          <w:rFonts w:ascii="Arial" w:eastAsia="Arial" w:hAnsi="Arial" w:cs="Arial"/>
          <w:color w:val="000000"/>
        </w:rPr>
      </w:pPr>
    </w:p>
    <w:p w14:paraId="7F2C5A62"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De conformidad con los </w:t>
      </w:r>
      <w:r>
        <w:rPr>
          <w:rFonts w:ascii="Arial" w:eastAsia="Arial" w:hAnsi="Arial" w:cs="Arial"/>
        </w:rPr>
        <w:t>Lineamientos y Metodología de Evaluación de las obligaciones de transparencia que deben publicar en sus Portales de Internet y en la PNT los sujetos obligados de la Ciudad de México</w:t>
      </w:r>
      <w:r>
        <w:rPr>
          <w:rFonts w:ascii="Arial" w:eastAsia="Arial" w:hAnsi="Arial" w:cs="Arial"/>
          <w:color w:val="000000"/>
        </w:rPr>
        <w:t xml:space="preserve"> (Lineamientos de Evaluación), el valor de cada uno de estos índices corres</w:t>
      </w:r>
      <w:r>
        <w:rPr>
          <w:rFonts w:ascii="Arial" w:eastAsia="Arial" w:hAnsi="Arial" w:cs="Arial"/>
          <w:color w:val="000000"/>
        </w:rPr>
        <w:t>ponde al cincuenta por ciento del IGOT. Los artículos correspondientes a las obligaciones de transparencia comunes tienen un valor de sesenta por ciento del total del ICOT-PI y ICOT-PNT respectivamente; los artículos que hacen referencia a las obligaciones</w:t>
      </w:r>
      <w:r>
        <w:rPr>
          <w:rFonts w:ascii="Arial" w:eastAsia="Arial" w:hAnsi="Arial" w:cs="Arial"/>
          <w:color w:val="000000"/>
        </w:rPr>
        <w:t xml:space="preserve"> específicas de cada sujeto obligado tiene un valor de veinte por ciento del total de cada uno de estos índices, y las disposiciones particulares establecidas en los artículos 143, 145, 146 y 147 de la Ley de Transparencia tienen una ponderación del cinco </w:t>
      </w:r>
      <w:r>
        <w:rPr>
          <w:rFonts w:ascii="Arial" w:eastAsia="Arial" w:hAnsi="Arial" w:cs="Arial"/>
          <w:color w:val="000000"/>
        </w:rPr>
        <w:t xml:space="preserve">por ciento en cada una de estas herramientas metodológicas. </w:t>
      </w:r>
    </w:p>
    <w:p w14:paraId="639468D8" w14:textId="77777777" w:rsidR="00067C34" w:rsidRDefault="00067C34">
      <w:pPr>
        <w:spacing w:line="360" w:lineRule="auto"/>
        <w:jc w:val="both"/>
        <w:rPr>
          <w:rFonts w:ascii="Arial" w:eastAsia="Arial" w:hAnsi="Arial" w:cs="Arial"/>
          <w:color w:val="000000"/>
        </w:rPr>
      </w:pPr>
    </w:p>
    <w:p w14:paraId="4F87216D"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En atención a lo anterior, la evaluación realizada consistió en verificar el cumplimiento de la publicación de la información a través del cálculo inicial de 81 (ochenta y un) índices simples: 2</w:t>
      </w:r>
      <w:r>
        <w:rPr>
          <w:rFonts w:ascii="Arial" w:eastAsia="Arial" w:hAnsi="Arial" w:cs="Arial"/>
          <w:color w:val="000000"/>
        </w:rPr>
        <w:t>1 (veinti</w:t>
      </w:r>
      <w:r>
        <w:rPr>
          <w:rFonts w:ascii="Arial" w:eastAsia="Arial" w:hAnsi="Arial" w:cs="Arial"/>
        </w:rPr>
        <w:t>ún</w:t>
      </w:r>
      <w:r>
        <w:rPr>
          <w:rFonts w:ascii="Arial" w:eastAsia="Arial" w:hAnsi="Arial" w:cs="Arial"/>
          <w:color w:val="000000"/>
        </w:rPr>
        <w:t xml:space="preserve">) criterios sustantivos de contenido, 20 (veinte) criterios adjetivos de actualización, 20 (veinte) criterios adjetivos de confiabilidad y 20 (veinte) criterios adjetivos de formato, tanto en el portal de </w:t>
      </w:r>
      <w:r>
        <w:rPr>
          <w:rFonts w:ascii="Arial" w:eastAsia="Arial" w:hAnsi="Arial" w:cs="Arial"/>
        </w:rPr>
        <w:t>I</w:t>
      </w:r>
      <w:r>
        <w:rPr>
          <w:rFonts w:ascii="Arial" w:eastAsia="Arial" w:hAnsi="Arial" w:cs="Arial"/>
          <w:color w:val="000000"/>
        </w:rPr>
        <w:t xml:space="preserve">nternet como en la Plataforma Nacional </w:t>
      </w:r>
      <w:r>
        <w:rPr>
          <w:rFonts w:ascii="Arial" w:eastAsia="Arial" w:hAnsi="Arial" w:cs="Arial"/>
          <w:color w:val="000000"/>
        </w:rPr>
        <w:t>de Transparencia. Los criterios sustantivos de contenido son aquellos relacionados con la existencia de la información; los criterios adjetivos de actualización establecen que la información publicada cumpla con los periodos de actualización y conservación</w:t>
      </w:r>
      <w:r>
        <w:rPr>
          <w:rFonts w:ascii="Arial" w:eastAsia="Arial" w:hAnsi="Arial" w:cs="Arial"/>
          <w:color w:val="000000"/>
        </w:rPr>
        <w:t>; los criterios adjetivos de confiabilidad son aquellos que permiten identificar la fecha en que se actualizó por última vez la información, la fecha de validación y el área que generó la misma; y por último, los criterios adjetivos de formato determinan l</w:t>
      </w:r>
      <w:r>
        <w:rPr>
          <w:rFonts w:ascii="Arial" w:eastAsia="Arial" w:hAnsi="Arial" w:cs="Arial"/>
          <w:color w:val="000000"/>
        </w:rPr>
        <w:t>as característica mínimas con las que debe ser organizada, sistematizada y publicada la información, permitiendo así su reutilización.</w:t>
      </w:r>
    </w:p>
    <w:p w14:paraId="0E1A2F36" w14:textId="77777777" w:rsidR="00067C34" w:rsidRDefault="00067C34">
      <w:pPr>
        <w:spacing w:line="360" w:lineRule="auto"/>
        <w:jc w:val="both"/>
        <w:rPr>
          <w:rFonts w:ascii="Arial" w:eastAsia="Arial" w:hAnsi="Arial" w:cs="Arial"/>
          <w:color w:val="000000"/>
        </w:rPr>
      </w:pPr>
    </w:p>
    <w:p w14:paraId="1D91F194"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No obstante, debido a que esta evaluación consiste en verificar el cumplimiento de las recomendaciones y observaciones e</w:t>
      </w:r>
      <w:r>
        <w:rPr>
          <w:rFonts w:ascii="Arial" w:eastAsia="Arial" w:hAnsi="Arial" w:cs="Arial"/>
          <w:color w:val="000000"/>
        </w:rPr>
        <w:t>mitidas a cada uno de los 119 sujetos obligados que no alcanzaron el cumplimiento total de las obligaciones mínimas establecidas en la Ley local de Transparencia; el procedimiento de evaluación únicamente se concentró en verificar la correcta publicación y</w:t>
      </w:r>
      <w:r>
        <w:rPr>
          <w:rFonts w:ascii="Arial" w:eastAsia="Arial" w:hAnsi="Arial" w:cs="Arial"/>
          <w:color w:val="000000"/>
        </w:rPr>
        <w:t xml:space="preserve"> actualización de la información </w:t>
      </w:r>
      <w:r>
        <w:rPr>
          <w:rFonts w:ascii="Arial" w:eastAsia="Arial" w:hAnsi="Arial" w:cs="Arial"/>
        </w:rPr>
        <w:t>de</w:t>
      </w:r>
      <w:r>
        <w:rPr>
          <w:rFonts w:ascii="Arial" w:eastAsia="Arial" w:hAnsi="Arial" w:cs="Arial"/>
          <w:color w:val="000000"/>
        </w:rPr>
        <w:t xml:space="preserve"> las obligaciones de transparencia que presentaba un índice de cumplimiento inferior a 100 puntos. </w:t>
      </w:r>
    </w:p>
    <w:p w14:paraId="02ED6EC5" w14:textId="77777777" w:rsidR="00067C34" w:rsidRDefault="00067C34">
      <w:pPr>
        <w:spacing w:line="360" w:lineRule="auto"/>
        <w:jc w:val="both"/>
        <w:rPr>
          <w:rFonts w:ascii="Arial" w:eastAsia="Arial" w:hAnsi="Arial" w:cs="Arial"/>
          <w:color w:val="000000"/>
        </w:rPr>
      </w:pPr>
    </w:p>
    <w:p w14:paraId="69BF314A"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Por su diseño, el IGOT puede asumir valores en el rango de 0 (cero) a 100 (cien) puntos, inclusive, escala en la que el </w:t>
      </w:r>
      <w:r>
        <w:rPr>
          <w:rFonts w:ascii="Arial" w:eastAsia="Arial" w:hAnsi="Arial" w:cs="Arial"/>
          <w:color w:val="000000"/>
        </w:rPr>
        <w:t>valor mínimo representa un incumplimiento total de las obligaciones correspondientes; valores superiores a 0 (cero) puntos y de hasta 59.99 (cincuenta y nueve punto noventa y nueve) puntos, inclusive, representan un grado parcial de incumplimiento de las o</w:t>
      </w:r>
      <w:r>
        <w:rPr>
          <w:rFonts w:ascii="Arial" w:eastAsia="Arial" w:hAnsi="Arial" w:cs="Arial"/>
          <w:color w:val="000000"/>
        </w:rPr>
        <w:t>bligaciones; valores iguales o superiores a 60 (sesenta) puntos y menores a 100 (cien) puntos representan un cumplimiento parcial de las obligaciones mínimas; en tanto que el puntaje más alto 100 (cien), representa el cabal cumplimiento de las obligaciones</w:t>
      </w:r>
      <w:r>
        <w:rPr>
          <w:rFonts w:ascii="Arial" w:eastAsia="Arial" w:hAnsi="Arial" w:cs="Arial"/>
          <w:color w:val="000000"/>
        </w:rPr>
        <w:t xml:space="preserve"> mínimas previstas por la Ley de Transparencia. </w:t>
      </w:r>
    </w:p>
    <w:p w14:paraId="66D2C6CA" w14:textId="77777777" w:rsidR="00067C34" w:rsidRDefault="00067C34">
      <w:pPr>
        <w:spacing w:line="360" w:lineRule="auto"/>
        <w:jc w:val="both"/>
        <w:rPr>
          <w:rFonts w:ascii="Arial" w:eastAsia="Arial" w:hAnsi="Arial" w:cs="Arial"/>
          <w:color w:val="000000"/>
        </w:rPr>
      </w:pPr>
    </w:p>
    <w:p w14:paraId="3F211B3C" w14:textId="77777777" w:rsidR="00067C34" w:rsidRDefault="00BA3CD1">
      <w:pPr>
        <w:spacing w:line="360" w:lineRule="auto"/>
        <w:jc w:val="both"/>
        <w:rPr>
          <w:rFonts w:ascii="Arial" w:eastAsia="Arial" w:hAnsi="Arial" w:cs="Arial"/>
        </w:rPr>
      </w:pPr>
      <w:r>
        <w:rPr>
          <w:rFonts w:ascii="Arial" w:eastAsia="Arial" w:hAnsi="Arial" w:cs="Arial"/>
          <w:color w:val="000000"/>
        </w:rPr>
        <w:t>Aunando a lo anterior, y en atención a que esta evaluación es de solventac</w:t>
      </w:r>
      <w:r>
        <w:rPr>
          <w:rFonts w:ascii="Arial" w:eastAsia="Arial" w:hAnsi="Arial" w:cs="Arial"/>
        </w:rPr>
        <w:t>ión a</w:t>
      </w:r>
      <w:r>
        <w:rPr>
          <w:rFonts w:ascii="Arial" w:eastAsia="Arial" w:hAnsi="Arial" w:cs="Arial"/>
          <w:color w:val="000000"/>
        </w:rPr>
        <w:t xml:space="preserve"> las recomendaciones y observaciones emitidas en la Segunda Evaluación Vinculante 2020</w:t>
      </w:r>
      <w:r>
        <w:rPr>
          <w:rFonts w:ascii="Arial" w:eastAsia="Arial" w:hAnsi="Arial" w:cs="Arial"/>
        </w:rPr>
        <w:t xml:space="preserve"> como resultado de esta verificación</w:t>
      </w:r>
      <w:r>
        <w:rPr>
          <w:rFonts w:ascii="Arial" w:eastAsia="Arial" w:hAnsi="Arial" w:cs="Arial"/>
          <w:color w:val="000000"/>
        </w:rPr>
        <w:t xml:space="preserve"> los </w:t>
      </w:r>
      <w:r>
        <w:rPr>
          <w:rFonts w:ascii="Arial" w:eastAsia="Arial" w:hAnsi="Arial" w:cs="Arial"/>
          <w:color w:val="000000"/>
        </w:rPr>
        <w:t xml:space="preserve">sujetos obligados </w:t>
      </w:r>
      <w:r>
        <w:rPr>
          <w:rFonts w:ascii="Arial" w:eastAsia="Arial" w:hAnsi="Arial" w:cs="Arial"/>
        </w:rPr>
        <w:t>se ubican en</w:t>
      </w:r>
      <w:r>
        <w:rPr>
          <w:rFonts w:ascii="Arial" w:eastAsia="Arial" w:hAnsi="Arial" w:cs="Arial"/>
          <w:color w:val="000000"/>
        </w:rPr>
        <w:t xml:space="preserve"> </w:t>
      </w:r>
      <w:r>
        <w:rPr>
          <w:rFonts w:ascii="Arial" w:eastAsia="Arial" w:hAnsi="Arial" w:cs="Arial"/>
        </w:rPr>
        <w:t>alguno de las siguientes situaciones con respecto al cumplimiento a las recomendaciones: a)</w:t>
      </w:r>
      <w:r>
        <w:rPr>
          <w:rFonts w:ascii="Arial" w:eastAsia="Arial" w:hAnsi="Arial" w:cs="Arial"/>
          <w:color w:val="000000"/>
        </w:rPr>
        <w:t xml:space="preserve"> atendieron todas las recomenda</w:t>
      </w:r>
      <w:r>
        <w:rPr>
          <w:rFonts w:ascii="Arial" w:eastAsia="Arial" w:hAnsi="Arial" w:cs="Arial"/>
        </w:rPr>
        <w:t>ciones vinculantes y alcanzaron 100 puntos en su IGOT;</w:t>
      </w:r>
      <w:r>
        <w:rPr>
          <w:rFonts w:ascii="Arial" w:eastAsia="Arial" w:hAnsi="Arial" w:cs="Arial"/>
          <w:color w:val="000000"/>
        </w:rPr>
        <w:t xml:space="preserve"> b) atendieron algunas </w:t>
      </w:r>
      <w:r>
        <w:rPr>
          <w:rFonts w:ascii="Arial" w:eastAsia="Arial" w:hAnsi="Arial" w:cs="Arial"/>
        </w:rPr>
        <w:t>recomendaciones, más</w:t>
      </w:r>
      <w:r>
        <w:rPr>
          <w:rFonts w:ascii="Arial" w:eastAsia="Arial" w:hAnsi="Arial" w:cs="Arial"/>
          <w:color w:val="000000"/>
        </w:rPr>
        <w:t xml:space="preserve"> no al</w:t>
      </w:r>
      <w:r>
        <w:rPr>
          <w:rFonts w:ascii="Arial" w:eastAsia="Arial" w:hAnsi="Arial" w:cs="Arial"/>
          <w:color w:val="000000"/>
        </w:rPr>
        <w:t>canzaro</w:t>
      </w:r>
      <w:r>
        <w:rPr>
          <w:rFonts w:ascii="Arial" w:eastAsia="Arial" w:hAnsi="Arial" w:cs="Arial"/>
        </w:rPr>
        <w:t>n</w:t>
      </w:r>
      <w:r>
        <w:rPr>
          <w:rFonts w:ascii="Arial" w:eastAsia="Arial" w:hAnsi="Arial" w:cs="Arial"/>
          <w:color w:val="000000"/>
        </w:rPr>
        <w:t xml:space="preserve"> el cumplimento total y persisten áreas de oportunidad</w:t>
      </w:r>
      <w:r>
        <w:rPr>
          <w:rFonts w:ascii="Arial" w:eastAsia="Arial" w:hAnsi="Arial" w:cs="Arial"/>
        </w:rPr>
        <w:t xml:space="preserve"> y, c</w:t>
      </w:r>
      <w:r>
        <w:rPr>
          <w:rFonts w:ascii="Arial" w:eastAsia="Arial" w:hAnsi="Arial" w:cs="Arial"/>
          <w:color w:val="000000"/>
        </w:rPr>
        <w:t xml:space="preserve">) </w:t>
      </w:r>
      <w:r>
        <w:rPr>
          <w:rFonts w:ascii="Arial" w:eastAsia="Arial" w:hAnsi="Arial" w:cs="Arial"/>
        </w:rPr>
        <w:t>no atendieron ninguna recomendación, por lo que</w:t>
      </w:r>
      <w:r>
        <w:rPr>
          <w:rFonts w:ascii="Arial" w:eastAsia="Arial" w:hAnsi="Arial" w:cs="Arial"/>
          <w:color w:val="000000"/>
        </w:rPr>
        <w:t xml:space="preserve"> permanecen con el mismo IGOT que obtuvieron en la Segunda Evaluación</w:t>
      </w:r>
      <w:r>
        <w:rPr>
          <w:rFonts w:ascii="Arial" w:eastAsia="Arial" w:hAnsi="Arial" w:cs="Arial"/>
        </w:rPr>
        <w:t xml:space="preserve">. </w:t>
      </w:r>
    </w:p>
    <w:p w14:paraId="741E9D31" w14:textId="77777777" w:rsidR="00067C34" w:rsidRDefault="00067C34">
      <w:pPr>
        <w:rPr>
          <w:rFonts w:ascii="Arial" w:eastAsia="Arial" w:hAnsi="Arial" w:cs="Arial"/>
        </w:rPr>
      </w:pPr>
    </w:p>
    <w:p w14:paraId="55815D2E" w14:textId="77777777" w:rsidR="00067C34" w:rsidRDefault="00BA3CD1">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A continuación, se detallan los resultados de la Evaluación de Solventación o Tercera Evaluación Vinculante 2020.</w:t>
      </w:r>
    </w:p>
    <w:p w14:paraId="5EE09BA1" w14:textId="77777777" w:rsidR="00067C34" w:rsidRDefault="00BA3CD1">
      <w:pPr>
        <w:pStyle w:val="Ttulo1"/>
        <w:rPr>
          <w:rFonts w:ascii="Arial" w:eastAsia="Arial" w:hAnsi="Arial" w:cs="Arial"/>
          <w:b/>
          <w:color w:val="000000"/>
          <w:sz w:val="24"/>
          <w:szCs w:val="24"/>
        </w:rPr>
      </w:pPr>
      <w:bookmarkStart w:id="6" w:name="_heading=h.2et92p0" w:colFirst="0" w:colLast="0"/>
      <w:bookmarkEnd w:id="6"/>
      <w:r>
        <w:br w:type="page"/>
      </w:r>
    </w:p>
    <w:p w14:paraId="69BF5B3C" w14:textId="77777777" w:rsidR="00067C34" w:rsidRDefault="00BA3CD1">
      <w:pPr>
        <w:pStyle w:val="Ttulo1"/>
        <w:rPr>
          <w:rFonts w:ascii="Arial" w:eastAsia="Arial" w:hAnsi="Arial" w:cs="Arial"/>
          <w:b/>
          <w:color w:val="000000"/>
          <w:sz w:val="24"/>
          <w:szCs w:val="24"/>
        </w:rPr>
      </w:pPr>
      <w:bookmarkStart w:id="7" w:name="_heading=h.49x2ik5" w:colFirst="0" w:colLast="0"/>
      <w:bookmarkEnd w:id="7"/>
      <w:r>
        <w:rPr>
          <w:rFonts w:ascii="Arial" w:eastAsia="Arial" w:hAnsi="Arial" w:cs="Arial"/>
          <w:b/>
          <w:color w:val="000000"/>
          <w:sz w:val="24"/>
          <w:szCs w:val="24"/>
        </w:rPr>
        <w:t>RESULTADOS GLOBALES</w:t>
      </w:r>
    </w:p>
    <w:p w14:paraId="6D1BEE47" w14:textId="77777777" w:rsidR="00067C34" w:rsidRDefault="00067C34">
      <w:pPr>
        <w:spacing w:line="360" w:lineRule="auto"/>
        <w:jc w:val="both"/>
        <w:rPr>
          <w:rFonts w:ascii="Arial" w:eastAsia="Arial" w:hAnsi="Arial" w:cs="Arial"/>
        </w:rPr>
      </w:pPr>
    </w:p>
    <w:p w14:paraId="6390FFB2"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A partir de los resultados de esta evaluación, los sujetos obligados de la Ciudad de México incrementaron, en su conjun</w:t>
      </w:r>
      <w:r>
        <w:rPr>
          <w:rFonts w:ascii="Arial" w:eastAsia="Arial" w:hAnsi="Arial" w:cs="Arial"/>
          <w:color w:val="000000"/>
        </w:rPr>
        <w:t xml:space="preserve">to, el cumplimiento promedio de sus obligaciones de transparencia, puesto que pasaron de tener un índice de </w:t>
      </w:r>
      <w:r>
        <w:rPr>
          <w:rFonts w:ascii="Arial" w:eastAsia="Arial" w:hAnsi="Arial" w:cs="Arial"/>
        </w:rPr>
        <w:t>66.54 a uno de 75.43; es decir, el puntaje promedio aumentó 8.89 puntos.</w:t>
      </w:r>
    </w:p>
    <w:p w14:paraId="4CAE2AB4" w14:textId="77777777" w:rsidR="00067C34" w:rsidRDefault="00067C34">
      <w:pPr>
        <w:spacing w:line="360" w:lineRule="auto"/>
        <w:jc w:val="both"/>
        <w:rPr>
          <w:rFonts w:ascii="Arial" w:eastAsia="Arial" w:hAnsi="Arial" w:cs="Arial"/>
          <w:color w:val="000000"/>
        </w:rPr>
      </w:pPr>
    </w:p>
    <w:p w14:paraId="50A90977"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Como se señaló en la metodología, el Índice de Global de Cumplimiento a la</w:t>
      </w:r>
      <w:r>
        <w:rPr>
          <w:rFonts w:ascii="Arial" w:eastAsia="Arial" w:hAnsi="Arial" w:cs="Arial"/>
          <w:color w:val="000000"/>
        </w:rPr>
        <w:t>s Obligaciones de Transparencia (IGOT) se conforma por el promedio aritmético del Índice de Cumplimiento a las Obligaciones de Transparencia en el portal institucional (ICOT-PI) Índice de Cumplimiento a las Obligaciones de Transparencia en la Plataforma Na</w:t>
      </w:r>
      <w:r>
        <w:rPr>
          <w:rFonts w:ascii="Arial" w:eastAsia="Arial" w:hAnsi="Arial" w:cs="Arial"/>
          <w:color w:val="000000"/>
        </w:rPr>
        <w:t xml:space="preserve">cional de Transparencia (ICOT-PT). </w:t>
      </w:r>
    </w:p>
    <w:p w14:paraId="7FDCFE68" w14:textId="77777777" w:rsidR="00067C34" w:rsidRDefault="00067C34">
      <w:pPr>
        <w:spacing w:line="360" w:lineRule="auto"/>
        <w:jc w:val="both"/>
        <w:rPr>
          <w:rFonts w:ascii="Arial" w:eastAsia="Arial" w:hAnsi="Arial" w:cs="Arial"/>
          <w:color w:val="000000"/>
        </w:rPr>
      </w:pPr>
    </w:p>
    <w:p w14:paraId="5C18D65D"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Al comparar los resultados de la Segunda </w:t>
      </w:r>
      <w:r>
        <w:rPr>
          <w:rFonts w:ascii="Arial" w:eastAsia="Arial" w:hAnsi="Arial" w:cs="Arial"/>
        </w:rPr>
        <w:t>E</w:t>
      </w:r>
      <w:r>
        <w:rPr>
          <w:rFonts w:ascii="Arial" w:eastAsia="Arial" w:hAnsi="Arial" w:cs="Arial"/>
          <w:color w:val="000000"/>
        </w:rPr>
        <w:t>valuación y la Evaluación de Solventación se aprecia que, la mejora más notable (10.</w:t>
      </w:r>
      <w:r>
        <w:rPr>
          <w:rFonts w:ascii="Arial" w:eastAsia="Arial" w:hAnsi="Arial" w:cs="Arial"/>
        </w:rPr>
        <w:t>49</w:t>
      </w:r>
      <w:r>
        <w:rPr>
          <w:rFonts w:ascii="Arial" w:eastAsia="Arial" w:hAnsi="Arial" w:cs="Arial"/>
          <w:color w:val="000000"/>
        </w:rPr>
        <w:t xml:space="preserve"> puntos) se dio por la atención a las recomendaciones en la publicación y actualización de </w:t>
      </w:r>
      <w:r>
        <w:rPr>
          <w:rFonts w:ascii="Arial" w:eastAsia="Arial" w:hAnsi="Arial" w:cs="Arial"/>
          <w:color w:val="000000"/>
        </w:rPr>
        <w:t>la información en los portales institucionales, ya que pasó de tener un ICOT PI de 64.08 a 74.56 puntos. También el índice de cumplimento en la Plataforma Nacional de Transparencia (ICOT PNT) tuvo un incremento de 7.29 puntos, al pasar de 69.01 a 76.30. Lo</w:t>
      </w:r>
      <w:r>
        <w:rPr>
          <w:rFonts w:ascii="Arial" w:eastAsia="Arial" w:hAnsi="Arial" w:cs="Arial"/>
          <w:color w:val="000000"/>
        </w:rPr>
        <w:t xml:space="preserve"> anterior se aprecia en el siguiente cuadro:</w:t>
      </w:r>
    </w:p>
    <w:p w14:paraId="3FE48DEB"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 </w:t>
      </w:r>
    </w:p>
    <w:tbl>
      <w:tblPr>
        <w:tblStyle w:val="aff"/>
        <w:tblW w:w="8950" w:type="dxa"/>
        <w:tblInd w:w="0" w:type="dxa"/>
        <w:tblLayout w:type="fixed"/>
        <w:tblLook w:val="0400" w:firstRow="0" w:lastRow="0" w:firstColumn="0" w:lastColumn="0" w:noHBand="0" w:noVBand="1"/>
      </w:tblPr>
      <w:tblGrid>
        <w:gridCol w:w="3495"/>
        <w:gridCol w:w="1383"/>
        <w:gridCol w:w="2282"/>
        <w:gridCol w:w="1790"/>
      </w:tblGrid>
      <w:tr w:rsidR="00067C34" w14:paraId="67D4F858" w14:textId="77777777">
        <w:trPr>
          <w:trHeight w:val="300"/>
        </w:trPr>
        <w:tc>
          <w:tcPr>
            <w:tcW w:w="3495" w:type="dxa"/>
            <w:tcBorders>
              <w:top w:val="nil"/>
              <w:left w:val="nil"/>
              <w:bottom w:val="single" w:sz="4" w:space="0" w:color="95B3D7"/>
              <w:right w:val="nil"/>
            </w:tcBorders>
            <w:shd w:val="clear" w:color="auto" w:fill="DCE6F1"/>
            <w:vAlign w:val="center"/>
          </w:tcPr>
          <w:p w14:paraId="3E254BEF" w14:textId="77777777" w:rsidR="00067C34" w:rsidRDefault="00BA3CD1">
            <w:pPr>
              <w:spacing w:line="259" w:lineRule="auto"/>
              <w:jc w:val="center"/>
            </w:pPr>
            <w:r>
              <w:rPr>
                <w:rFonts w:ascii="Arial" w:eastAsia="Arial" w:hAnsi="Arial" w:cs="Arial"/>
                <w:b/>
                <w:color w:val="000000"/>
                <w:sz w:val="16"/>
                <w:szCs w:val="16"/>
              </w:rPr>
              <w:t>Evaluación</w:t>
            </w:r>
          </w:p>
        </w:tc>
        <w:tc>
          <w:tcPr>
            <w:tcW w:w="1383" w:type="dxa"/>
            <w:tcBorders>
              <w:top w:val="nil"/>
              <w:left w:val="nil"/>
              <w:bottom w:val="single" w:sz="4" w:space="0" w:color="95B3D7"/>
              <w:right w:val="nil"/>
            </w:tcBorders>
            <w:shd w:val="clear" w:color="auto" w:fill="DCE6F1"/>
            <w:vAlign w:val="center"/>
          </w:tcPr>
          <w:p w14:paraId="37DEE851"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ICOT PI</w:t>
            </w:r>
          </w:p>
        </w:tc>
        <w:tc>
          <w:tcPr>
            <w:tcW w:w="2282" w:type="dxa"/>
            <w:tcBorders>
              <w:top w:val="nil"/>
              <w:left w:val="nil"/>
              <w:bottom w:val="single" w:sz="4" w:space="0" w:color="95B3D7"/>
              <w:right w:val="nil"/>
            </w:tcBorders>
            <w:shd w:val="clear" w:color="auto" w:fill="DCE6F1"/>
            <w:vAlign w:val="center"/>
          </w:tcPr>
          <w:p w14:paraId="7D8332C1" w14:textId="77777777" w:rsidR="00067C34" w:rsidRDefault="00BA3CD1">
            <w:pPr>
              <w:spacing w:line="259" w:lineRule="auto"/>
              <w:jc w:val="center"/>
            </w:pPr>
            <w:r>
              <w:rPr>
                <w:rFonts w:ascii="Arial" w:eastAsia="Arial" w:hAnsi="Arial" w:cs="Arial"/>
                <w:b/>
                <w:color w:val="000000"/>
                <w:sz w:val="16"/>
                <w:szCs w:val="16"/>
              </w:rPr>
              <w:t>ICOT PNT</w:t>
            </w:r>
          </w:p>
        </w:tc>
        <w:tc>
          <w:tcPr>
            <w:tcW w:w="1790" w:type="dxa"/>
            <w:tcBorders>
              <w:top w:val="nil"/>
              <w:left w:val="nil"/>
              <w:bottom w:val="single" w:sz="4" w:space="0" w:color="95B3D7"/>
              <w:right w:val="nil"/>
            </w:tcBorders>
            <w:shd w:val="clear" w:color="auto" w:fill="DCE6F1"/>
            <w:vAlign w:val="center"/>
          </w:tcPr>
          <w:p w14:paraId="2D3F1352" w14:textId="77777777" w:rsidR="00067C34" w:rsidRDefault="00BA3CD1">
            <w:pPr>
              <w:spacing w:line="259" w:lineRule="auto"/>
              <w:jc w:val="center"/>
            </w:pPr>
            <w:r>
              <w:rPr>
                <w:rFonts w:ascii="Arial" w:eastAsia="Arial" w:hAnsi="Arial" w:cs="Arial"/>
                <w:b/>
                <w:color w:val="000000"/>
                <w:sz w:val="16"/>
                <w:szCs w:val="16"/>
              </w:rPr>
              <w:t>IGOT</w:t>
            </w:r>
          </w:p>
        </w:tc>
      </w:tr>
      <w:tr w:rsidR="00067C34" w14:paraId="78A1ACC5" w14:textId="77777777">
        <w:trPr>
          <w:trHeight w:val="288"/>
        </w:trPr>
        <w:tc>
          <w:tcPr>
            <w:tcW w:w="3495" w:type="dxa"/>
            <w:tcBorders>
              <w:top w:val="nil"/>
              <w:left w:val="nil"/>
              <w:bottom w:val="nil"/>
              <w:right w:val="nil"/>
            </w:tcBorders>
            <w:shd w:val="clear" w:color="auto" w:fill="auto"/>
            <w:vAlign w:val="bottom"/>
          </w:tcPr>
          <w:p w14:paraId="704833B7"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Segunda Evaluación Vinculante 2020</w:t>
            </w:r>
          </w:p>
        </w:tc>
        <w:tc>
          <w:tcPr>
            <w:tcW w:w="1383" w:type="dxa"/>
            <w:tcBorders>
              <w:top w:val="nil"/>
              <w:left w:val="nil"/>
              <w:bottom w:val="nil"/>
              <w:right w:val="nil"/>
            </w:tcBorders>
            <w:vAlign w:val="bottom"/>
          </w:tcPr>
          <w:p w14:paraId="1CF4D4F7"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64.08</w:t>
            </w:r>
          </w:p>
        </w:tc>
        <w:tc>
          <w:tcPr>
            <w:tcW w:w="2282" w:type="dxa"/>
            <w:tcBorders>
              <w:top w:val="nil"/>
              <w:left w:val="nil"/>
              <w:bottom w:val="nil"/>
              <w:right w:val="nil"/>
            </w:tcBorders>
            <w:shd w:val="clear" w:color="auto" w:fill="auto"/>
            <w:vAlign w:val="bottom"/>
          </w:tcPr>
          <w:p w14:paraId="779AC757"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69.01</w:t>
            </w:r>
          </w:p>
        </w:tc>
        <w:tc>
          <w:tcPr>
            <w:tcW w:w="1790" w:type="dxa"/>
            <w:tcBorders>
              <w:top w:val="nil"/>
              <w:left w:val="nil"/>
              <w:bottom w:val="nil"/>
              <w:right w:val="nil"/>
            </w:tcBorders>
            <w:shd w:val="clear" w:color="auto" w:fill="auto"/>
            <w:vAlign w:val="bottom"/>
          </w:tcPr>
          <w:p w14:paraId="07DE5CFB"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66.54</w:t>
            </w:r>
          </w:p>
        </w:tc>
      </w:tr>
      <w:tr w:rsidR="00067C34" w14:paraId="75B15B97" w14:textId="77777777">
        <w:trPr>
          <w:trHeight w:val="300"/>
        </w:trPr>
        <w:tc>
          <w:tcPr>
            <w:tcW w:w="3495" w:type="dxa"/>
            <w:tcBorders>
              <w:top w:val="nil"/>
              <w:left w:val="nil"/>
              <w:bottom w:val="nil"/>
              <w:right w:val="nil"/>
            </w:tcBorders>
            <w:shd w:val="clear" w:color="auto" w:fill="auto"/>
            <w:vAlign w:val="bottom"/>
          </w:tcPr>
          <w:p w14:paraId="6D6E0C7B"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Tercera Evaluación Vinculante 2020</w:t>
            </w:r>
          </w:p>
        </w:tc>
        <w:tc>
          <w:tcPr>
            <w:tcW w:w="1383" w:type="dxa"/>
            <w:tcBorders>
              <w:top w:val="nil"/>
              <w:left w:val="nil"/>
              <w:bottom w:val="nil"/>
              <w:right w:val="nil"/>
            </w:tcBorders>
            <w:vAlign w:val="bottom"/>
          </w:tcPr>
          <w:p w14:paraId="31E1C1E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74.56</w:t>
            </w:r>
          </w:p>
        </w:tc>
        <w:tc>
          <w:tcPr>
            <w:tcW w:w="2282" w:type="dxa"/>
            <w:tcBorders>
              <w:top w:val="nil"/>
              <w:left w:val="nil"/>
              <w:bottom w:val="nil"/>
              <w:right w:val="nil"/>
            </w:tcBorders>
            <w:shd w:val="clear" w:color="auto" w:fill="auto"/>
            <w:vAlign w:val="bottom"/>
          </w:tcPr>
          <w:p w14:paraId="3CD847BB"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76.30</w:t>
            </w:r>
          </w:p>
        </w:tc>
        <w:tc>
          <w:tcPr>
            <w:tcW w:w="1790" w:type="dxa"/>
            <w:tcBorders>
              <w:top w:val="nil"/>
              <w:left w:val="nil"/>
              <w:bottom w:val="nil"/>
              <w:right w:val="nil"/>
            </w:tcBorders>
            <w:shd w:val="clear" w:color="auto" w:fill="auto"/>
            <w:vAlign w:val="bottom"/>
          </w:tcPr>
          <w:p w14:paraId="5044AD18" w14:textId="77777777" w:rsidR="00067C34" w:rsidRDefault="00BA3CD1">
            <w:pPr>
              <w:jc w:val="center"/>
              <w:rPr>
                <w:rFonts w:ascii="Arial" w:eastAsia="Arial" w:hAnsi="Arial" w:cs="Arial"/>
                <w:sz w:val="18"/>
                <w:szCs w:val="18"/>
              </w:rPr>
            </w:pPr>
            <w:r>
              <w:rPr>
                <w:rFonts w:ascii="Arial" w:eastAsia="Arial" w:hAnsi="Arial" w:cs="Arial"/>
                <w:sz w:val="18"/>
                <w:szCs w:val="18"/>
              </w:rPr>
              <w:t>75.43</w:t>
            </w:r>
          </w:p>
        </w:tc>
      </w:tr>
      <w:tr w:rsidR="00067C34" w14:paraId="35AF9A1D" w14:textId="77777777">
        <w:trPr>
          <w:trHeight w:val="288"/>
        </w:trPr>
        <w:tc>
          <w:tcPr>
            <w:tcW w:w="3495" w:type="dxa"/>
            <w:tcBorders>
              <w:top w:val="single" w:sz="4" w:space="0" w:color="95B3D7"/>
              <w:left w:val="nil"/>
              <w:bottom w:val="nil"/>
              <w:right w:val="nil"/>
            </w:tcBorders>
            <w:shd w:val="clear" w:color="auto" w:fill="DCE6F1"/>
            <w:vAlign w:val="bottom"/>
          </w:tcPr>
          <w:p w14:paraId="3013A2F2" w14:textId="77777777" w:rsidR="00067C34" w:rsidRDefault="00BA3CD1">
            <w:pPr>
              <w:spacing w:line="259" w:lineRule="auto"/>
            </w:pPr>
            <w:r>
              <w:rPr>
                <w:rFonts w:ascii="Arial" w:eastAsia="Arial" w:hAnsi="Arial" w:cs="Arial"/>
                <w:b/>
                <w:color w:val="000000"/>
                <w:sz w:val="18"/>
                <w:szCs w:val="18"/>
              </w:rPr>
              <w:t xml:space="preserve">Diferencia entre 3a y 2da Evaluación </w:t>
            </w:r>
          </w:p>
        </w:tc>
        <w:tc>
          <w:tcPr>
            <w:tcW w:w="1383" w:type="dxa"/>
            <w:tcBorders>
              <w:top w:val="single" w:sz="4" w:space="0" w:color="95B3D7"/>
              <w:left w:val="nil"/>
              <w:bottom w:val="nil"/>
              <w:right w:val="nil"/>
            </w:tcBorders>
            <w:shd w:val="clear" w:color="auto" w:fill="DCE6F1"/>
            <w:vAlign w:val="bottom"/>
          </w:tcPr>
          <w:p w14:paraId="7C5EF7C0" w14:textId="77777777" w:rsidR="00067C34" w:rsidRDefault="00BA3CD1">
            <w:pPr>
              <w:spacing w:line="259" w:lineRule="auto"/>
              <w:jc w:val="center"/>
            </w:pPr>
            <w:r>
              <w:rPr>
                <w:rFonts w:ascii="Arial" w:eastAsia="Arial" w:hAnsi="Arial" w:cs="Arial"/>
                <w:b/>
                <w:color w:val="000000"/>
                <w:sz w:val="18"/>
                <w:szCs w:val="18"/>
              </w:rPr>
              <w:t>10.</w:t>
            </w:r>
            <w:r>
              <w:rPr>
                <w:rFonts w:ascii="Arial" w:eastAsia="Arial" w:hAnsi="Arial" w:cs="Arial"/>
                <w:b/>
                <w:sz w:val="18"/>
                <w:szCs w:val="18"/>
              </w:rPr>
              <w:t>49</w:t>
            </w:r>
          </w:p>
        </w:tc>
        <w:tc>
          <w:tcPr>
            <w:tcW w:w="2282" w:type="dxa"/>
            <w:tcBorders>
              <w:top w:val="single" w:sz="4" w:space="0" w:color="95B3D7"/>
              <w:left w:val="nil"/>
              <w:bottom w:val="nil"/>
              <w:right w:val="nil"/>
            </w:tcBorders>
            <w:shd w:val="clear" w:color="auto" w:fill="DCE6F1"/>
            <w:vAlign w:val="bottom"/>
          </w:tcPr>
          <w:p w14:paraId="625378C9"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7.29</w:t>
            </w:r>
          </w:p>
        </w:tc>
        <w:tc>
          <w:tcPr>
            <w:tcW w:w="1790" w:type="dxa"/>
            <w:tcBorders>
              <w:top w:val="single" w:sz="4" w:space="0" w:color="95B3D7"/>
              <w:left w:val="nil"/>
              <w:bottom w:val="nil"/>
              <w:right w:val="nil"/>
            </w:tcBorders>
            <w:shd w:val="clear" w:color="auto" w:fill="DCE6F1"/>
            <w:vAlign w:val="bottom"/>
          </w:tcPr>
          <w:p w14:paraId="374D908F" w14:textId="77777777" w:rsidR="00067C34" w:rsidRDefault="00BA3CD1">
            <w:pPr>
              <w:jc w:val="center"/>
              <w:rPr>
                <w:rFonts w:ascii="Arial" w:eastAsia="Arial" w:hAnsi="Arial" w:cs="Arial"/>
                <w:b/>
                <w:color w:val="000000"/>
                <w:sz w:val="18"/>
                <w:szCs w:val="18"/>
              </w:rPr>
            </w:pPr>
            <w:r>
              <w:rPr>
                <w:rFonts w:ascii="Arial" w:eastAsia="Arial" w:hAnsi="Arial" w:cs="Arial"/>
                <w:b/>
                <w:sz w:val="18"/>
                <w:szCs w:val="18"/>
              </w:rPr>
              <w:t>8</w:t>
            </w:r>
            <w:r>
              <w:rPr>
                <w:rFonts w:ascii="Arial" w:eastAsia="Arial" w:hAnsi="Arial" w:cs="Arial"/>
                <w:b/>
                <w:color w:val="000000"/>
                <w:sz w:val="18"/>
                <w:szCs w:val="18"/>
              </w:rPr>
              <w:t>.89</w:t>
            </w:r>
          </w:p>
        </w:tc>
      </w:tr>
    </w:tbl>
    <w:p w14:paraId="2CB80E0C" w14:textId="77777777" w:rsidR="00067C34" w:rsidRDefault="00067C34">
      <w:pPr>
        <w:spacing w:line="360" w:lineRule="auto"/>
        <w:jc w:val="both"/>
        <w:rPr>
          <w:rFonts w:ascii="Arial" w:eastAsia="Arial" w:hAnsi="Arial" w:cs="Arial"/>
          <w:color w:val="000000"/>
        </w:rPr>
      </w:pPr>
    </w:p>
    <w:p w14:paraId="2BFFAF16"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Los 119 sujetos obligados que tenían recomendaciones y observaciones que atender</w:t>
      </w:r>
      <w:r>
        <w:rPr>
          <w:rFonts w:ascii="Arial" w:eastAsia="Arial" w:hAnsi="Arial" w:cs="Arial"/>
        </w:rPr>
        <w:t xml:space="preserve"> y por tanto se verificaron en esta evaluación se integran por: nueve sujetos de la administración pública central, cincuenta y nueve son organismos desconcentrados, descentralizados, paraestatales, auxiliares, fondos y fideicomisos, once alcaldías, dos su</w:t>
      </w:r>
      <w:r>
        <w:rPr>
          <w:rFonts w:ascii="Arial" w:eastAsia="Arial" w:hAnsi="Arial" w:cs="Arial"/>
        </w:rPr>
        <w:t>jetos obligados son del Poder Legislativo, dos del Poder Judicial, cinco son órganos autónomos, diez partidos políticos y veintiún sindicatos.</w:t>
      </w:r>
    </w:p>
    <w:p w14:paraId="0AECB8D6" w14:textId="77777777" w:rsidR="00067C34" w:rsidRDefault="00067C34">
      <w:pPr>
        <w:spacing w:line="360" w:lineRule="auto"/>
        <w:jc w:val="both"/>
        <w:rPr>
          <w:rFonts w:ascii="Arial" w:eastAsia="Arial" w:hAnsi="Arial" w:cs="Arial"/>
        </w:rPr>
      </w:pPr>
    </w:p>
    <w:tbl>
      <w:tblPr>
        <w:tblStyle w:val="aff0"/>
        <w:tblW w:w="8790" w:type="dxa"/>
        <w:jc w:val="center"/>
        <w:tblInd w:w="0" w:type="dxa"/>
        <w:tblLayout w:type="fixed"/>
        <w:tblLook w:val="0400" w:firstRow="0" w:lastRow="0" w:firstColumn="0" w:lastColumn="0" w:noHBand="0" w:noVBand="1"/>
      </w:tblPr>
      <w:tblGrid>
        <w:gridCol w:w="7005"/>
        <w:gridCol w:w="1785"/>
      </w:tblGrid>
      <w:tr w:rsidR="00067C34" w14:paraId="50C23FC2" w14:textId="77777777">
        <w:trPr>
          <w:trHeight w:val="510"/>
          <w:jc w:val="center"/>
        </w:trPr>
        <w:tc>
          <w:tcPr>
            <w:tcW w:w="7005" w:type="dxa"/>
            <w:tcBorders>
              <w:top w:val="single" w:sz="4" w:space="0" w:color="000000"/>
              <w:left w:val="nil"/>
              <w:bottom w:val="single" w:sz="4" w:space="0" w:color="000000"/>
              <w:right w:val="nil"/>
            </w:tcBorders>
            <w:shd w:val="clear" w:color="auto" w:fill="auto"/>
            <w:vAlign w:val="center"/>
          </w:tcPr>
          <w:p w14:paraId="367B950D"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Ámbito de gobierno</w:t>
            </w:r>
          </w:p>
        </w:tc>
        <w:tc>
          <w:tcPr>
            <w:tcW w:w="1785" w:type="dxa"/>
            <w:tcBorders>
              <w:top w:val="single" w:sz="4" w:space="0" w:color="000000"/>
              <w:left w:val="nil"/>
              <w:bottom w:val="single" w:sz="4" w:space="0" w:color="000000"/>
              <w:right w:val="nil"/>
            </w:tcBorders>
            <w:shd w:val="clear" w:color="auto" w:fill="auto"/>
            <w:vAlign w:val="center"/>
          </w:tcPr>
          <w:p w14:paraId="3E11ED1D"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SO</w:t>
            </w:r>
          </w:p>
        </w:tc>
      </w:tr>
      <w:tr w:rsidR="00067C34" w14:paraId="55C7250C" w14:textId="77777777">
        <w:trPr>
          <w:trHeight w:val="300"/>
          <w:jc w:val="center"/>
        </w:trPr>
        <w:tc>
          <w:tcPr>
            <w:tcW w:w="7005" w:type="dxa"/>
            <w:tcBorders>
              <w:top w:val="nil"/>
              <w:left w:val="nil"/>
              <w:bottom w:val="nil"/>
              <w:right w:val="nil"/>
            </w:tcBorders>
            <w:shd w:val="clear" w:color="auto" w:fill="D9D9D9"/>
            <w:vAlign w:val="bottom"/>
          </w:tcPr>
          <w:p w14:paraId="4714E798"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Administración Pública Central</w:t>
            </w:r>
          </w:p>
        </w:tc>
        <w:tc>
          <w:tcPr>
            <w:tcW w:w="1785" w:type="dxa"/>
            <w:tcBorders>
              <w:top w:val="nil"/>
              <w:left w:val="nil"/>
              <w:bottom w:val="nil"/>
              <w:right w:val="nil"/>
            </w:tcBorders>
            <w:shd w:val="clear" w:color="auto" w:fill="D9D9D9"/>
            <w:vAlign w:val="bottom"/>
          </w:tcPr>
          <w:p w14:paraId="08057E33"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9</w:t>
            </w:r>
          </w:p>
        </w:tc>
      </w:tr>
      <w:tr w:rsidR="00067C34" w14:paraId="0F5A0CAF" w14:textId="77777777">
        <w:trPr>
          <w:trHeight w:val="300"/>
          <w:jc w:val="center"/>
        </w:trPr>
        <w:tc>
          <w:tcPr>
            <w:tcW w:w="7005" w:type="dxa"/>
            <w:tcBorders>
              <w:top w:val="nil"/>
              <w:left w:val="nil"/>
              <w:bottom w:val="nil"/>
              <w:right w:val="nil"/>
            </w:tcBorders>
            <w:shd w:val="clear" w:color="auto" w:fill="auto"/>
            <w:vAlign w:val="bottom"/>
          </w:tcPr>
          <w:p w14:paraId="53E511E1"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Alcaldías</w:t>
            </w:r>
          </w:p>
        </w:tc>
        <w:tc>
          <w:tcPr>
            <w:tcW w:w="1785" w:type="dxa"/>
            <w:tcBorders>
              <w:top w:val="nil"/>
              <w:left w:val="nil"/>
              <w:bottom w:val="nil"/>
              <w:right w:val="nil"/>
            </w:tcBorders>
            <w:shd w:val="clear" w:color="auto" w:fill="auto"/>
            <w:vAlign w:val="bottom"/>
          </w:tcPr>
          <w:p w14:paraId="15EBBA62"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11</w:t>
            </w:r>
          </w:p>
        </w:tc>
      </w:tr>
      <w:tr w:rsidR="00067C34" w14:paraId="68C954DC" w14:textId="77777777">
        <w:trPr>
          <w:trHeight w:val="300"/>
          <w:jc w:val="center"/>
        </w:trPr>
        <w:tc>
          <w:tcPr>
            <w:tcW w:w="7005" w:type="dxa"/>
            <w:tcBorders>
              <w:top w:val="nil"/>
              <w:left w:val="nil"/>
              <w:bottom w:val="nil"/>
              <w:right w:val="nil"/>
            </w:tcBorders>
            <w:shd w:val="clear" w:color="auto" w:fill="D9D9D9"/>
            <w:vAlign w:val="bottom"/>
          </w:tcPr>
          <w:p w14:paraId="0CA54934"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Desconcentrados, paraestatales, descentralizados, auxiliares, fondos y fideicomisos</w:t>
            </w:r>
          </w:p>
        </w:tc>
        <w:tc>
          <w:tcPr>
            <w:tcW w:w="1785" w:type="dxa"/>
            <w:tcBorders>
              <w:top w:val="nil"/>
              <w:left w:val="nil"/>
              <w:bottom w:val="nil"/>
              <w:right w:val="nil"/>
            </w:tcBorders>
            <w:shd w:val="clear" w:color="auto" w:fill="D9D9D9"/>
            <w:vAlign w:val="bottom"/>
          </w:tcPr>
          <w:p w14:paraId="3BF60923"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59</w:t>
            </w:r>
          </w:p>
        </w:tc>
      </w:tr>
      <w:tr w:rsidR="00067C34" w14:paraId="78A8A7D9" w14:textId="77777777">
        <w:trPr>
          <w:trHeight w:val="300"/>
          <w:jc w:val="center"/>
        </w:trPr>
        <w:tc>
          <w:tcPr>
            <w:tcW w:w="7005" w:type="dxa"/>
            <w:tcBorders>
              <w:top w:val="nil"/>
              <w:left w:val="nil"/>
              <w:bottom w:val="nil"/>
              <w:right w:val="nil"/>
            </w:tcBorders>
            <w:shd w:val="clear" w:color="auto" w:fill="auto"/>
            <w:vAlign w:val="bottom"/>
          </w:tcPr>
          <w:p w14:paraId="0EC97143"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Órganos Autónomos</w:t>
            </w:r>
          </w:p>
        </w:tc>
        <w:tc>
          <w:tcPr>
            <w:tcW w:w="1785" w:type="dxa"/>
            <w:tcBorders>
              <w:top w:val="nil"/>
              <w:left w:val="nil"/>
              <w:bottom w:val="nil"/>
              <w:right w:val="nil"/>
            </w:tcBorders>
            <w:shd w:val="clear" w:color="auto" w:fill="auto"/>
            <w:vAlign w:val="bottom"/>
          </w:tcPr>
          <w:p w14:paraId="610ADC0C"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w:t>
            </w:r>
          </w:p>
        </w:tc>
      </w:tr>
      <w:tr w:rsidR="00067C34" w14:paraId="00E25925" w14:textId="77777777">
        <w:trPr>
          <w:trHeight w:val="300"/>
          <w:jc w:val="center"/>
        </w:trPr>
        <w:tc>
          <w:tcPr>
            <w:tcW w:w="7005" w:type="dxa"/>
            <w:tcBorders>
              <w:top w:val="nil"/>
              <w:left w:val="nil"/>
              <w:bottom w:val="nil"/>
              <w:right w:val="nil"/>
            </w:tcBorders>
            <w:shd w:val="clear" w:color="auto" w:fill="D9D9D9"/>
            <w:vAlign w:val="bottom"/>
          </w:tcPr>
          <w:p w14:paraId="793C3AD2"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Partidos Políticos</w:t>
            </w:r>
          </w:p>
        </w:tc>
        <w:tc>
          <w:tcPr>
            <w:tcW w:w="1785" w:type="dxa"/>
            <w:tcBorders>
              <w:top w:val="nil"/>
              <w:left w:val="nil"/>
              <w:bottom w:val="nil"/>
              <w:right w:val="nil"/>
            </w:tcBorders>
            <w:shd w:val="clear" w:color="auto" w:fill="D9D9D9"/>
            <w:vAlign w:val="bottom"/>
          </w:tcPr>
          <w:p w14:paraId="16A9886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10</w:t>
            </w:r>
          </w:p>
        </w:tc>
      </w:tr>
      <w:tr w:rsidR="00067C34" w14:paraId="7FEBDEEE" w14:textId="77777777">
        <w:trPr>
          <w:trHeight w:val="300"/>
          <w:jc w:val="center"/>
        </w:trPr>
        <w:tc>
          <w:tcPr>
            <w:tcW w:w="7005" w:type="dxa"/>
            <w:tcBorders>
              <w:top w:val="nil"/>
              <w:left w:val="nil"/>
              <w:bottom w:val="nil"/>
              <w:right w:val="nil"/>
            </w:tcBorders>
            <w:shd w:val="clear" w:color="auto" w:fill="auto"/>
            <w:vAlign w:val="bottom"/>
          </w:tcPr>
          <w:p w14:paraId="06829ABD"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Poder Judicial</w:t>
            </w:r>
          </w:p>
        </w:tc>
        <w:tc>
          <w:tcPr>
            <w:tcW w:w="1785" w:type="dxa"/>
            <w:tcBorders>
              <w:top w:val="nil"/>
              <w:left w:val="nil"/>
              <w:bottom w:val="nil"/>
              <w:right w:val="nil"/>
            </w:tcBorders>
            <w:shd w:val="clear" w:color="auto" w:fill="auto"/>
            <w:vAlign w:val="bottom"/>
          </w:tcPr>
          <w:p w14:paraId="5B770446"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r>
      <w:tr w:rsidR="00067C34" w14:paraId="2E797520" w14:textId="77777777">
        <w:trPr>
          <w:trHeight w:val="300"/>
          <w:jc w:val="center"/>
        </w:trPr>
        <w:tc>
          <w:tcPr>
            <w:tcW w:w="7005" w:type="dxa"/>
            <w:tcBorders>
              <w:top w:val="nil"/>
              <w:left w:val="nil"/>
              <w:bottom w:val="nil"/>
              <w:right w:val="nil"/>
            </w:tcBorders>
            <w:shd w:val="clear" w:color="auto" w:fill="D9D9D9"/>
            <w:vAlign w:val="bottom"/>
          </w:tcPr>
          <w:p w14:paraId="16D447D3"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Poder Legislativo</w:t>
            </w:r>
          </w:p>
        </w:tc>
        <w:tc>
          <w:tcPr>
            <w:tcW w:w="1785" w:type="dxa"/>
            <w:tcBorders>
              <w:top w:val="nil"/>
              <w:left w:val="nil"/>
              <w:bottom w:val="nil"/>
              <w:right w:val="nil"/>
            </w:tcBorders>
            <w:shd w:val="clear" w:color="auto" w:fill="D9D9D9"/>
            <w:vAlign w:val="bottom"/>
          </w:tcPr>
          <w:p w14:paraId="68D42AC3"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r>
      <w:tr w:rsidR="00067C34" w14:paraId="10317ACD" w14:textId="77777777">
        <w:trPr>
          <w:trHeight w:val="300"/>
          <w:jc w:val="center"/>
        </w:trPr>
        <w:tc>
          <w:tcPr>
            <w:tcW w:w="7005" w:type="dxa"/>
            <w:tcBorders>
              <w:top w:val="nil"/>
              <w:left w:val="nil"/>
              <w:bottom w:val="nil"/>
              <w:right w:val="nil"/>
            </w:tcBorders>
            <w:shd w:val="clear" w:color="auto" w:fill="auto"/>
            <w:vAlign w:val="bottom"/>
          </w:tcPr>
          <w:p w14:paraId="048F10E3"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Sindicatos</w:t>
            </w:r>
          </w:p>
        </w:tc>
        <w:tc>
          <w:tcPr>
            <w:tcW w:w="1785" w:type="dxa"/>
            <w:tcBorders>
              <w:top w:val="nil"/>
              <w:left w:val="nil"/>
              <w:bottom w:val="nil"/>
              <w:right w:val="nil"/>
            </w:tcBorders>
            <w:shd w:val="clear" w:color="auto" w:fill="auto"/>
            <w:vAlign w:val="bottom"/>
          </w:tcPr>
          <w:p w14:paraId="7F879A2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21</w:t>
            </w:r>
          </w:p>
        </w:tc>
      </w:tr>
      <w:tr w:rsidR="00067C34" w14:paraId="0D3F1A03" w14:textId="77777777">
        <w:trPr>
          <w:trHeight w:val="300"/>
          <w:jc w:val="center"/>
        </w:trPr>
        <w:tc>
          <w:tcPr>
            <w:tcW w:w="7005" w:type="dxa"/>
            <w:tcBorders>
              <w:top w:val="nil"/>
              <w:left w:val="nil"/>
              <w:bottom w:val="single" w:sz="4" w:space="0" w:color="000000"/>
              <w:right w:val="nil"/>
            </w:tcBorders>
            <w:shd w:val="clear" w:color="auto" w:fill="D9D9D9"/>
            <w:vAlign w:val="bottom"/>
          </w:tcPr>
          <w:p w14:paraId="5540B99A" w14:textId="77777777" w:rsidR="00067C34" w:rsidRDefault="00BA3CD1">
            <w:pPr>
              <w:rPr>
                <w:rFonts w:ascii="Arial" w:eastAsia="Arial" w:hAnsi="Arial" w:cs="Arial"/>
                <w:b/>
                <w:color w:val="000000"/>
                <w:sz w:val="18"/>
                <w:szCs w:val="18"/>
              </w:rPr>
            </w:pPr>
            <w:r>
              <w:rPr>
                <w:rFonts w:ascii="Arial" w:eastAsia="Arial" w:hAnsi="Arial" w:cs="Arial"/>
                <w:b/>
                <w:color w:val="000000"/>
                <w:sz w:val="18"/>
                <w:szCs w:val="18"/>
              </w:rPr>
              <w:t>Total general</w:t>
            </w:r>
          </w:p>
        </w:tc>
        <w:tc>
          <w:tcPr>
            <w:tcW w:w="1785" w:type="dxa"/>
            <w:tcBorders>
              <w:top w:val="nil"/>
              <w:left w:val="nil"/>
              <w:bottom w:val="single" w:sz="4" w:space="0" w:color="000000"/>
              <w:right w:val="nil"/>
            </w:tcBorders>
            <w:shd w:val="clear" w:color="auto" w:fill="D9D9D9"/>
            <w:vAlign w:val="bottom"/>
          </w:tcPr>
          <w:p w14:paraId="2F1D2C74"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119</w:t>
            </w:r>
          </w:p>
        </w:tc>
      </w:tr>
    </w:tbl>
    <w:p w14:paraId="48D59D96" w14:textId="77777777" w:rsidR="00067C34" w:rsidRDefault="00067C34">
      <w:pPr>
        <w:spacing w:line="360" w:lineRule="auto"/>
        <w:jc w:val="both"/>
        <w:rPr>
          <w:rFonts w:ascii="Arial" w:eastAsia="Arial" w:hAnsi="Arial" w:cs="Arial"/>
          <w:color w:val="000000"/>
        </w:rPr>
      </w:pPr>
    </w:p>
    <w:p w14:paraId="460B5BAF"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Como resultado de este ejercicio de verificación </w:t>
      </w:r>
      <w:r>
        <w:rPr>
          <w:rFonts w:ascii="Arial" w:eastAsia="Arial" w:hAnsi="Arial" w:cs="Arial"/>
          <w:b/>
          <w:color w:val="000000"/>
        </w:rPr>
        <w:t>29</w:t>
      </w:r>
      <w:r>
        <w:rPr>
          <w:rFonts w:ascii="Arial" w:eastAsia="Arial" w:hAnsi="Arial" w:cs="Arial"/>
          <w:color w:val="000000"/>
        </w:rPr>
        <w:t xml:space="preserve"> de los 119 sujetos obligados evaluados cumplieron al 100% de las obligaciones señaladas por las disposiciones de la Ley de Transparencia local lo que representa 24.4% del conjunto de sujetos obligados eva</w:t>
      </w:r>
      <w:r>
        <w:rPr>
          <w:rFonts w:ascii="Arial" w:eastAsia="Arial" w:hAnsi="Arial" w:cs="Arial"/>
          <w:color w:val="000000"/>
        </w:rPr>
        <w:t xml:space="preserve">luados. Los que dieron una </w:t>
      </w:r>
      <w:r>
        <w:rPr>
          <w:rFonts w:ascii="Arial" w:eastAsia="Arial" w:hAnsi="Arial" w:cs="Arial"/>
          <w:b/>
          <w:color w:val="000000"/>
        </w:rPr>
        <w:t>atención total</w:t>
      </w:r>
      <w:r>
        <w:rPr>
          <w:rFonts w:ascii="Arial" w:eastAsia="Arial" w:hAnsi="Arial" w:cs="Arial"/>
          <w:color w:val="000000"/>
        </w:rPr>
        <w:t xml:space="preserve"> a las recomendaciones emitidas y, por tanto, cumplen con los mínimos que establece la Ley, se distribuyen de la siguiente forma: cinco sujetos obligados pertenecen al ámbito de la administración pública central, ca</w:t>
      </w:r>
      <w:r>
        <w:rPr>
          <w:rFonts w:ascii="Arial" w:eastAsia="Arial" w:hAnsi="Arial" w:cs="Arial"/>
          <w:color w:val="000000"/>
        </w:rPr>
        <w:t>torce son organismos desconcentrados, descentralizados, paraestatales, auxiliares, fondos y fideicomisos, tres alcaldías, dos son órganos autónomos, uno del Poder Judicial y cuatro son partidos políticos.</w:t>
      </w:r>
    </w:p>
    <w:p w14:paraId="3CC91A65" w14:textId="77777777" w:rsidR="00067C34" w:rsidRDefault="00067C34">
      <w:pPr>
        <w:spacing w:line="360" w:lineRule="auto"/>
        <w:jc w:val="both"/>
        <w:rPr>
          <w:rFonts w:ascii="Arial" w:eastAsia="Arial" w:hAnsi="Arial" w:cs="Arial"/>
          <w:color w:val="000000"/>
        </w:rPr>
      </w:pPr>
    </w:p>
    <w:tbl>
      <w:tblPr>
        <w:tblStyle w:val="aff1"/>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8"/>
        <w:gridCol w:w="989"/>
        <w:gridCol w:w="1283"/>
        <w:gridCol w:w="1659"/>
        <w:gridCol w:w="1543"/>
        <w:gridCol w:w="1404"/>
      </w:tblGrid>
      <w:tr w:rsidR="00067C34" w14:paraId="00589DEE" w14:textId="77777777">
        <w:trPr>
          <w:trHeight w:val="705"/>
        </w:trPr>
        <w:tc>
          <w:tcPr>
            <w:tcW w:w="2468" w:type="dxa"/>
            <w:shd w:val="clear" w:color="auto" w:fill="DCE6F1"/>
            <w:vAlign w:val="center"/>
          </w:tcPr>
          <w:p w14:paraId="0A067C05"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Ámbitos de gobierno</w:t>
            </w:r>
          </w:p>
        </w:tc>
        <w:tc>
          <w:tcPr>
            <w:tcW w:w="989" w:type="dxa"/>
            <w:shd w:val="clear" w:color="auto" w:fill="DCE6F1"/>
            <w:vAlign w:val="center"/>
          </w:tcPr>
          <w:p w14:paraId="35D091CD"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Número de sujetos obligados</w:t>
            </w:r>
          </w:p>
        </w:tc>
        <w:tc>
          <w:tcPr>
            <w:tcW w:w="1283" w:type="dxa"/>
            <w:shd w:val="clear" w:color="auto" w:fill="DCE6F1"/>
            <w:vAlign w:val="center"/>
          </w:tcPr>
          <w:p w14:paraId="1D7631FA"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Cu</w:t>
            </w:r>
            <w:r>
              <w:rPr>
                <w:rFonts w:ascii="Arial" w:eastAsia="Arial" w:hAnsi="Arial" w:cs="Arial"/>
                <w:b/>
                <w:color w:val="000000"/>
                <w:sz w:val="16"/>
                <w:szCs w:val="16"/>
              </w:rPr>
              <w:t>mplimiento total</w:t>
            </w:r>
          </w:p>
          <w:p w14:paraId="5A6808C1"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(100 puntos)</w:t>
            </w:r>
          </w:p>
        </w:tc>
        <w:tc>
          <w:tcPr>
            <w:tcW w:w="1659" w:type="dxa"/>
            <w:shd w:val="clear" w:color="auto" w:fill="DCE6F1"/>
            <w:vAlign w:val="center"/>
          </w:tcPr>
          <w:p w14:paraId="6424B225"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Cumplimiento parcial</w:t>
            </w:r>
          </w:p>
          <w:p w14:paraId="6ED33411"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(60 a 99.99 puntos)</w:t>
            </w:r>
          </w:p>
        </w:tc>
        <w:tc>
          <w:tcPr>
            <w:tcW w:w="1543" w:type="dxa"/>
            <w:shd w:val="clear" w:color="auto" w:fill="DCE6F1"/>
            <w:vAlign w:val="center"/>
          </w:tcPr>
          <w:p w14:paraId="37816F54"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Incumplimiento parcial</w:t>
            </w:r>
          </w:p>
          <w:p w14:paraId="7B98CCCB"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(1 a 59.99 puntos)</w:t>
            </w:r>
          </w:p>
        </w:tc>
        <w:tc>
          <w:tcPr>
            <w:tcW w:w="1404" w:type="dxa"/>
            <w:shd w:val="clear" w:color="auto" w:fill="DCE6F1"/>
            <w:vAlign w:val="center"/>
          </w:tcPr>
          <w:p w14:paraId="2FF57B70"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Incumplimiento total</w:t>
            </w:r>
          </w:p>
          <w:p w14:paraId="778D3C8B" w14:textId="77777777" w:rsidR="00067C34" w:rsidRDefault="00BA3CD1">
            <w:pPr>
              <w:jc w:val="center"/>
              <w:rPr>
                <w:rFonts w:ascii="Arial" w:eastAsia="Arial" w:hAnsi="Arial" w:cs="Arial"/>
                <w:b/>
                <w:color w:val="000000"/>
                <w:sz w:val="16"/>
                <w:szCs w:val="16"/>
              </w:rPr>
            </w:pPr>
            <w:r>
              <w:rPr>
                <w:rFonts w:ascii="Arial" w:eastAsia="Arial" w:hAnsi="Arial" w:cs="Arial"/>
                <w:b/>
                <w:color w:val="000000"/>
                <w:sz w:val="16"/>
                <w:szCs w:val="16"/>
              </w:rPr>
              <w:t>(0 puntos)</w:t>
            </w:r>
          </w:p>
        </w:tc>
      </w:tr>
      <w:tr w:rsidR="00067C34" w14:paraId="581FF24B" w14:textId="77777777">
        <w:trPr>
          <w:trHeight w:val="288"/>
        </w:trPr>
        <w:tc>
          <w:tcPr>
            <w:tcW w:w="2468" w:type="dxa"/>
            <w:shd w:val="clear" w:color="auto" w:fill="auto"/>
            <w:vAlign w:val="bottom"/>
          </w:tcPr>
          <w:p w14:paraId="62AF69A2"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Administración Pública Central</w:t>
            </w:r>
          </w:p>
        </w:tc>
        <w:tc>
          <w:tcPr>
            <w:tcW w:w="989" w:type="dxa"/>
            <w:vAlign w:val="bottom"/>
          </w:tcPr>
          <w:p w14:paraId="7E745234"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9</w:t>
            </w:r>
          </w:p>
        </w:tc>
        <w:tc>
          <w:tcPr>
            <w:tcW w:w="1283" w:type="dxa"/>
            <w:vAlign w:val="bottom"/>
          </w:tcPr>
          <w:p w14:paraId="4F8281C3"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w:t>
            </w:r>
          </w:p>
        </w:tc>
        <w:tc>
          <w:tcPr>
            <w:tcW w:w="1659" w:type="dxa"/>
            <w:shd w:val="clear" w:color="auto" w:fill="auto"/>
            <w:vAlign w:val="bottom"/>
          </w:tcPr>
          <w:p w14:paraId="5CB8ECD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4</w:t>
            </w:r>
          </w:p>
        </w:tc>
        <w:tc>
          <w:tcPr>
            <w:tcW w:w="1543" w:type="dxa"/>
            <w:shd w:val="clear" w:color="auto" w:fill="auto"/>
            <w:vAlign w:val="bottom"/>
          </w:tcPr>
          <w:p w14:paraId="3D627CCC"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0</w:t>
            </w:r>
          </w:p>
        </w:tc>
        <w:tc>
          <w:tcPr>
            <w:tcW w:w="1404" w:type="dxa"/>
            <w:shd w:val="clear" w:color="auto" w:fill="auto"/>
            <w:vAlign w:val="bottom"/>
          </w:tcPr>
          <w:p w14:paraId="065A7AA6" w14:textId="77777777" w:rsidR="00067C34" w:rsidRDefault="00BA3CD1">
            <w:pPr>
              <w:jc w:val="center"/>
              <w:rPr>
                <w:rFonts w:ascii="Arial" w:eastAsia="Arial" w:hAnsi="Arial" w:cs="Arial"/>
                <w:sz w:val="18"/>
                <w:szCs w:val="18"/>
              </w:rPr>
            </w:pPr>
            <w:r>
              <w:rPr>
                <w:rFonts w:ascii="Arial" w:eastAsia="Arial" w:hAnsi="Arial" w:cs="Arial"/>
                <w:sz w:val="18"/>
                <w:szCs w:val="18"/>
              </w:rPr>
              <w:t>0</w:t>
            </w:r>
          </w:p>
        </w:tc>
      </w:tr>
      <w:tr w:rsidR="00067C34" w14:paraId="4FB08CF8" w14:textId="77777777">
        <w:trPr>
          <w:trHeight w:val="288"/>
        </w:trPr>
        <w:tc>
          <w:tcPr>
            <w:tcW w:w="2468" w:type="dxa"/>
            <w:shd w:val="clear" w:color="auto" w:fill="auto"/>
            <w:vAlign w:val="bottom"/>
          </w:tcPr>
          <w:p w14:paraId="5C9F05BB"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Alcaldías</w:t>
            </w:r>
          </w:p>
        </w:tc>
        <w:tc>
          <w:tcPr>
            <w:tcW w:w="989" w:type="dxa"/>
            <w:vAlign w:val="bottom"/>
          </w:tcPr>
          <w:p w14:paraId="5BABB2A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11</w:t>
            </w:r>
          </w:p>
        </w:tc>
        <w:tc>
          <w:tcPr>
            <w:tcW w:w="1283" w:type="dxa"/>
            <w:vAlign w:val="bottom"/>
          </w:tcPr>
          <w:p w14:paraId="64F14A5E"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3</w:t>
            </w:r>
          </w:p>
        </w:tc>
        <w:tc>
          <w:tcPr>
            <w:tcW w:w="1659" w:type="dxa"/>
            <w:shd w:val="clear" w:color="auto" w:fill="auto"/>
            <w:vAlign w:val="bottom"/>
          </w:tcPr>
          <w:p w14:paraId="17BEDD9B"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8</w:t>
            </w:r>
          </w:p>
        </w:tc>
        <w:tc>
          <w:tcPr>
            <w:tcW w:w="1543" w:type="dxa"/>
            <w:shd w:val="clear" w:color="auto" w:fill="auto"/>
            <w:vAlign w:val="bottom"/>
          </w:tcPr>
          <w:p w14:paraId="1048348A"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0</w:t>
            </w:r>
          </w:p>
        </w:tc>
        <w:tc>
          <w:tcPr>
            <w:tcW w:w="1404" w:type="dxa"/>
            <w:shd w:val="clear" w:color="auto" w:fill="auto"/>
            <w:vAlign w:val="bottom"/>
          </w:tcPr>
          <w:p w14:paraId="3D145292" w14:textId="77777777" w:rsidR="00067C34" w:rsidRDefault="00BA3CD1">
            <w:pPr>
              <w:jc w:val="center"/>
              <w:rPr>
                <w:rFonts w:ascii="Arial" w:eastAsia="Arial" w:hAnsi="Arial" w:cs="Arial"/>
                <w:sz w:val="18"/>
                <w:szCs w:val="18"/>
              </w:rPr>
            </w:pPr>
            <w:r>
              <w:rPr>
                <w:rFonts w:ascii="Arial" w:eastAsia="Arial" w:hAnsi="Arial" w:cs="Arial"/>
                <w:sz w:val="18"/>
                <w:szCs w:val="18"/>
              </w:rPr>
              <w:t>0</w:t>
            </w:r>
          </w:p>
        </w:tc>
      </w:tr>
      <w:tr w:rsidR="00067C34" w14:paraId="00897690" w14:textId="77777777">
        <w:trPr>
          <w:trHeight w:val="288"/>
        </w:trPr>
        <w:tc>
          <w:tcPr>
            <w:tcW w:w="2468" w:type="dxa"/>
            <w:shd w:val="clear" w:color="auto" w:fill="auto"/>
            <w:vAlign w:val="bottom"/>
          </w:tcPr>
          <w:p w14:paraId="431CEF71"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Desconcentrados y Paraestatales (Descentralizados, Auxiliares, Fondos y Fideicomisos)</w:t>
            </w:r>
          </w:p>
        </w:tc>
        <w:tc>
          <w:tcPr>
            <w:tcW w:w="989" w:type="dxa"/>
            <w:vAlign w:val="bottom"/>
          </w:tcPr>
          <w:p w14:paraId="481AAABA"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59</w:t>
            </w:r>
          </w:p>
        </w:tc>
        <w:tc>
          <w:tcPr>
            <w:tcW w:w="1283" w:type="dxa"/>
            <w:vAlign w:val="bottom"/>
          </w:tcPr>
          <w:p w14:paraId="421471E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14</w:t>
            </w:r>
          </w:p>
        </w:tc>
        <w:tc>
          <w:tcPr>
            <w:tcW w:w="1659" w:type="dxa"/>
            <w:shd w:val="clear" w:color="auto" w:fill="auto"/>
            <w:vAlign w:val="bottom"/>
          </w:tcPr>
          <w:p w14:paraId="25622D3E"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39</w:t>
            </w:r>
          </w:p>
        </w:tc>
        <w:tc>
          <w:tcPr>
            <w:tcW w:w="1543" w:type="dxa"/>
            <w:shd w:val="clear" w:color="auto" w:fill="auto"/>
            <w:vAlign w:val="bottom"/>
          </w:tcPr>
          <w:p w14:paraId="426E6F34"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w:t>
            </w:r>
          </w:p>
        </w:tc>
        <w:tc>
          <w:tcPr>
            <w:tcW w:w="1404" w:type="dxa"/>
            <w:shd w:val="clear" w:color="auto" w:fill="auto"/>
            <w:vAlign w:val="bottom"/>
          </w:tcPr>
          <w:p w14:paraId="21ACE2E7"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w:t>
            </w:r>
          </w:p>
        </w:tc>
      </w:tr>
      <w:tr w:rsidR="00067C34" w14:paraId="1B5D68AE" w14:textId="77777777">
        <w:trPr>
          <w:trHeight w:val="288"/>
        </w:trPr>
        <w:tc>
          <w:tcPr>
            <w:tcW w:w="2468" w:type="dxa"/>
            <w:shd w:val="clear" w:color="auto" w:fill="auto"/>
            <w:vAlign w:val="bottom"/>
          </w:tcPr>
          <w:p w14:paraId="34962018"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Órganos Autónomos</w:t>
            </w:r>
          </w:p>
        </w:tc>
        <w:tc>
          <w:tcPr>
            <w:tcW w:w="989" w:type="dxa"/>
            <w:vAlign w:val="bottom"/>
          </w:tcPr>
          <w:p w14:paraId="7E5A11E2"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w:t>
            </w:r>
          </w:p>
        </w:tc>
        <w:tc>
          <w:tcPr>
            <w:tcW w:w="1283" w:type="dxa"/>
            <w:vAlign w:val="bottom"/>
          </w:tcPr>
          <w:p w14:paraId="606CF649"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c>
          <w:tcPr>
            <w:tcW w:w="1659" w:type="dxa"/>
            <w:shd w:val="clear" w:color="auto" w:fill="auto"/>
            <w:vAlign w:val="bottom"/>
          </w:tcPr>
          <w:p w14:paraId="4F313565"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c>
          <w:tcPr>
            <w:tcW w:w="1543" w:type="dxa"/>
            <w:shd w:val="clear" w:color="auto" w:fill="auto"/>
            <w:vAlign w:val="bottom"/>
          </w:tcPr>
          <w:p w14:paraId="2DDA4C98"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w:t>
            </w:r>
          </w:p>
        </w:tc>
        <w:tc>
          <w:tcPr>
            <w:tcW w:w="1404" w:type="dxa"/>
            <w:shd w:val="clear" w:color="auto" w:fill="auto"/>
            <w:vAlign w:val="bottom"/>
          </w:tcPr>
          <w:p w14:paraId="2AB92216"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0</w:t>
            </w:r>
          </w:p>
        </w:tc>
      </w:tr>
      <w:tr w:rsidR="00067C34" w14:paraId="60A58B95" w14:textId="77777777">
        <w:trPr>
          <w:trHeight w:val="288"/>
        </w:trPr>
        <w:tc>
          <w:tcPr>
            <w:tcW w:w="2468" w:type="dxa"/>
            <w:shd w:val="clear" w:color="auto" w:fill="auto"/>
            <w:vAlign w:val="bottom"/>
          </w:tcPr>
          <w:p w14:paraId="6985A803"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Partidos Políticos</w:t>
            </w:r>
          </w:p>
        </w:tc>
        <w:tc>
          <w:tcPr>
            <w:tcW w:w="989" w:type="dxa"/>
            <w:vAlign w:val="bottom"/>
          </w:tcPr>
          <w:p w14:paraId="478B5BE6"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10</w:t>
            </w:r>
          </w:p>
        </w:tc>
        <w:tc>
          <w:tcPr>
            <w:tcW w:w="1283" w:type="dxa"/>
            <w:vAlign w:val="bottom"/>
          </w:tcPr>
          <w:p w14:paraId="4851541B"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4</w:t>
            </w:r>
          </w:p>
        </w:tc>
        <w:tc>
          <w:tcPr>
            <w:tcW w:w="1659" w:type="dxa"/>
            <w:shd w:val="clear" w:color="auto" w:fill="auto"/>
            <w:vAlign w:val="bottom"/>
          </w:tcPr>
          <w:p w14:paraId="73146992"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c>
          <w:tcPr>
            <w:tcW w:w="1543" w:type="dxa"/>
            <w:shd w:val="clear" w:color="auto" w:fill="auto"/>
            <w:vAlign w:val="bottom"/>
          </w:tcPr>
          <w:p w14:paraId="7122F71A"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w:t>
            </w:r>
          </w:p>
        </w:tc>
        <w:tc>
          <w:tcPr>
            <w:tcW w:w="1404" w:type="dxa"/>
            <w:shd w:val="clear" w:color="auto" w:fill="auto"/>
            <w:vAlign w:val="bottom"/>
          </w:tcPr>
          <w:p w14:paraId="656EA464"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3</w:t>
            </w:r>
          </w:p>
        </w:tc>
      </w:tr>
      <w:tr w:rsidR="00067C34" w14:paraId="4F856812" w14:textId="77777777">
        <w:trPr>
          <w:trHeight w:val="288"/>
        </w:trPr>
        <w:tc>
          <w:tcPr>
            <w:tcW w:w="2468" w:type="dxa"/>
            <w:shd w:val="clear" w:color="auto" w:fill="auto"/>
            <w:vAlign w:val="bottom"/>
          </w:tcPr>
          <w:p w14:paraId="49E8CB9D"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Poder Judicial</w:t>
            </w:r>
          </w:p>
        </w:tc>
        <w:tc>
          <w:tcPr>
            <w:tcW w:w="989" w:type="dxa"/>
            <w:vAlign w:val="bottom"/>
          </w:tcPr>
          <w:p w14:paraId="02D822E0"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c>
          <w:tcPr>
            <w:tcW w:w="1283" w:type="dxa"/>
            <w:vAlign w:val="bottom"/>
          </w:tcPr>
          <w:p w14:paraId="38BEA0E0"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w:t>
            </w:r>
          </w:p>
        </w:tc>
        <w:tc>
          <w:tcPr>
            <w:tcW w:w="1659" w:type="dxa"/>
            <w:shd w:val="clear" w:color="auto" w:fill="auto"/>
            <w:vAlign w:val="bottom"/>
          </w:tcPr>
          <w:p w14:paraId="042E7F62"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w:t>
            </w:r>
          </w:p>
        </w:tc>
        <w:tc>
          <w:tcPr>
            <w:tcW w:w="1543" w:type="dxa"/>
            <w:shd w:val="clear" w:color="auto" w:fill="auto"/>
            <w:vAlign w:val="bottom"/>
          </w:tcPr>
          <w:p w14:paraId="06D97A18"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0</w:t>
            </w:r>
          </w:p>
        </w:tc>
        <w:tc>
          <w:tcPr>
            <w:tcW w:w="1404" w:type="dxa"/>
            <w:shd w:val="clear" w:color="auto" w:fill="auto"/>
            <w:vAlign w:val="bottom"/>
          </w:tcPr>
          <w:p w14:paraId="602D93A1" w14:textId="77777777" w:rsidR="00067C34" w:rsidRDefault="00BA3CD1">
            <w:pPr>
              <w:jc w:val="center"/>
              <w:rPr>
                <w:rFonts w:ascii="Arial" w:eastAsia="Arial" w:hAnsi="Arial" w:cs="Arial"/>
                <w:sz w:val="18"/>
                <w:szCs w:val="18"/>
              </w:rPr>
            </w:pPr>
            <w:r>
              <w:rPr>
                <w:rFonts w:ascii="Arial" w:eastAsia="Arial" w:hAnsi="Arial" w:cs="Arial"/>
                <w:sz w:val="18"/>
                <w:szCs w:val="18"/>
              </w:rPr>
              <w:t>0</w:t>
            </w:r>
          </w:p>
        </w:tc>
      </w:tr>
      <w:tr w:rsidR="00067C34" w14:paraId="0A6CE061" w14:textId="77777777">
        <w:trPr>
          <w:trHeight w:val="288"/>
        </w:trPr>
        <w:tc>
          <w:tcPr>
            <w:tcW w:w="2468" w:type="dxa"/>
            <w:shd w:val="clear" w:color="auto" w:fill="auto"/>
            <w:vAlign w:val="bottom"/>
          </w:tcPr>
          <w:p w14:paraId="4BF6598C"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Poder Legislativo</w:t>
            </w:r>
          </w:p>
        </w:tc>
        <w:tc>
          <w:tcPr>
            <w:tcW w:w="989" w:type="dxa"/>
            <w:vAlign w:val="bottom"/>
          </w:tcPr>
          <w:p w14:paraId="44D635FD"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c>
          <w:tcPr>
            <w:tcW w:w="1283" w:type="dxa"/>
            <w:vAlign w:val="bottom"/>
          </w:tcPr>
          <w:p w14:paraId="68E1F47D"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0</w:t>
            </w:r>
          </w:p>
        </w:tc>
        <w:tc>
          <w:tcPr>
            <w:tcW w:w="1659" w:type="dxa"/>
            <w:shd w:val="clear" w:color="auto" w:fill="auto"/>
            <w:vAlign w:val="bottom"/>
          </w:tcPr>
          <w:p w14:paraId="3F6D477C"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w:t>
            </w:r>
          </w:p>
        </w:tc>
        <w:tc>
          <w:tcPr>
            <w:tcW w:w="1543" w:type="dxa"/>
            <w:shd w:val="clear" w:color="auto" w:fill="auto"/>
            <w:vAlign w:val="bottom"/>
          </w:tcPr>
          <w:p w14:paraId="5E5C4559" w14:textId="77777777" w:rsidR="00067C34" w:rsidRDefault="00BA3CD1">
            <w:pPr>
              <w:jc w:val="center"/>
              <w:rPr>
                <w:rFonts w:ascii="Arial" w:eastAsia="Arial" w:hAnsi="Arial" w:cs="Arial"/>
                <w:sz w:val="18"/>
                <w:szCs w:val="18"/>
              </w:rPr>
            </w:pPr>
            <w:r>
              <w:rPr>
                <w:rFonts w:ascii="Arial" w:eastAsia="Arial" w:hAnsi="Arial" w:cs="Arial"/>
                <w:sz w:val="18"/>
                <w:szCs w:val="18"/>
              </w:rPr>
              <w:t>0</w:t>
            </w:r>
          </w:p>
        </w:tc>
        <w:tc>
          <w:tcPr>
            <w:tcW w:w="1404" w:type="dxa"/>
            <w:shd w:val="clear" w:color="auto" w:fill="auto"/>
            <w:vAlign w:val="bottom"/>
          </w:tcPr>
          <w:p w14:paraId="14DD575A" w14:textId="77777777" w:rsidR="00067C34" w:rsidRDefault="00BA3CD1">
            <w:pPr>
              <w:jc w:val="center"/>
              <w:rPr>
                <w:rFonts w:ascii="Arial" w:eastAsia="Arial" w:hAnsi="Arial" w:cs="Arial"/>
                <w:sz w:val="18"/>
                <w:szCs w:val="18"/>
              </w:rPr>
            </w:pPr>
            <w:r>
              <w:rPr>
                <w:rFonts w:ascii="Arial" w:eastAsia="Arial" w:hAnsi="Arial" w:cs="Arial"/>
                <w:sz w:val="18"/>
                <w:szCs w:val="18"/>
              </w:rPr>
              <w:t>0</w:t>
            </w:r>
          </w:p>
        </w:tc>
      </w:tr>
      <w:tr w:rsidR="00067C34" w14:paraId="63E39540" w14:textId="77777777">
        <w:trPr>
          <w:trHeight w:val="288"/>
        </w:trPr>
        <w:tc>
          <w:tcPr>
            <w:tcW w:w="2468" w:type="dxa"/>
            <w:shd w:val="clear" w:color="auto" w:fill="auto"/>
            <w:vAlign w:val="bottom"/>
          </w:tcPr>
          <w:p w14:paraId="0DE8A40F"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Sindicatos</w:t>
            </w:r>
          </w:p>
        </w:tc>
        <w:tc>
          <w:tcPr>
            <w:tcW w:w="989" w:type="dxa"/>
            <w:vAlign w:val="bottom"/>
          </w:tcPr>
          <w:p w14:paraId="30EA9D7B"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21</w:t>
            </w:r>
          </w:p>
        </w:tc>
        <w:tc>
          <w:tcPr>
            <w:tcW w:w="1283" w:type="dxa"/>
            <w:vAlign w:val="bottom"/>
          </w:tcPr>
          <w:p w14:paraId="33A83CD8"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0</w:t>
            </w:r>
          </w:p>
        </w:tc>
        <w:tc>
          <w:tcPr>
            <w:tcW w:w="1659" w:type="dxa"/>
            <w:shd w:val="clear" w:color="auto" w:fill="auto"/>
            <w:vAlign w:val="bottom"/>
          </w:tcPr>
          <w:p w14:paraId="5832F70B"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5</w:t>
            </w:r>
          </w:p>
        </w:tc>
        <w:tc>
          <w:tcPr>
            <w:tcW w:w="1543" w:type="dxa"/>
            <w:shd w:val="clear" w:color="auto" w:fill="auto"/>
            <w:vAlign w:val="bottom"/>
          </w:tcPr>
          <w:p w14:paraId="363C5343"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12</w:t>
            </w:r>
          </w:p>
        </w:tc>
        <w:tc>
          <w:tcPr>
            <w:tcW w:w="1404" w:type="dxa"/>
            <w:shd w:val="clear" w:color="auto" w:fill="auto"/>
            <w:vAlign w:val="bottom"/>
          </w:tcPr>
          <w:p w14:paraId="43530B41" w14:textId="77777777" w:rsidR="00067C34" w:rsidRDefault="00BA3CD1">
            <w:pPr>
              <w:jc w:val="center"/>
              <w:rPr>
                <w:rFonts w:ascii="Arial" w:eastAsia="Arial" w:hAnsi="Arial" w:cs="Arial"/>
                <w:color w:val="000000"/>
                <w:sz w:val="18"/>
                <w:szCs w:val="18"/>
              </w:rPr>
            </w:pPr>
            <w:r>
              <w:rPr>
                <w:rFonts w:ascii="Arial" w:eastAsia="Arial" w:hAnsi="Arial" w:cs="Arial"/>
                <w:color w:val="000000"/>
                <w:sz w:val="18"/>
                <w:szCs w:val="18"/>
              </w:rPr>
              <w:t>4</w:t>
            </w:r>
          </w:p>
        </w:tc>
      </w:tr>
      <w:tr w:rsidR="00067C34" w14:paraId="640E8226" w14:textId="77777777">
        <w:trPr>
          <w:trHeight w:val="288"/>
        </w:trPr>
        <w:tc>
          <w:tcPr>
            <w:tcW w:w="2468" w:type="dxa"/>
            <w:shd w:val="clear" w:color="auto" w:fill="DCE6F1"/>
            <w:vAlign w:val="bottom"/>
          </w:tcPr>
          <w:p w14:paraId="2CE1B3E2" w14:textId="77777777" w:rsidR="00067C34" w:rsidRDefault="00BA3CD1">
            <w:pPr>
              <w:rPr>
                <w:rFonts w:ascii="Arial" w:eastAsia="Arial" w:hAnsi="Arial" w:cs="Arial"/>
                <w:b/>
                <w:color w:val="000000"/>
                <w:sz w:val="18"/>
                <w:szCs w:val="18"/>
              </w:rPr>
            </w:pPr>
            <w:r>
              <w:rPr>
                <w:rFonts w:ascii="Arial" w:eastAsia="Arial" w:hAnsi="Arial" w:cs="Arial"/>
                <w:b/>
                <w:color w:val="000000"/>
                <w:sz w:val="18"/>
                <w:szCs w:val="18"/>
              </w:rPr>
              <w:t>Total general</w:t>
            </w:r>
          </w:p>
        </w:tc>
        <w:tc>
          <w:tcPr>
            <w:tcW w:w="989" w:type="dxa"/>
            <w:shd w:val="clear" w:color="auto" w:fill="DCE6F1"/>
            <w:vAlign w:val="bottom"/>
          </w:tcPr>
          <w:p w14:paraId="69BEB3B3"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119</w:t>
            </w:r>
          </w:p>
        </w:tc>
        <w:tc>
          <w:tcPr>
            <w:tcW w:w="1283" w:type="dxa"/>
            <w:shd w:val="clear" w:color="auto" w:fill="DCE6F1"/>
            <w:vAlign w:val="bottom"/>
          </w:tcPr>
          <w:p w14:paraId="5400C89F"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29</w:t>
            </w:r>
          </w:p>
        </w:tc>
        <w:tc>
          <w:tcPr>
            <w:tcW w:w="1659" w:type="dxa"/>
            <w:shd w:val="clear" w:color="auto" w:fill="DCE6F1"/>
            <w:vAlign w:val="bottom"/>
          </w:tcPr>
          <w:p w14:paraId="3D1D597F"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63</w:t>
            </w:r>
          </w:p>
        </w:tc>
        <w:tc>
          <w:tcPr>
            <w:tcW w:w="1543" w:type="dxa"/>
            <w:shd w:val="clear" w:color="auto" w:fill="DCE6F1"/>
            <w:vAlign w:val="bottom"/>
          </w:tcPr>
          <w:p w14:paraId="29FF3FE5"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19</w:t>
            </w:r>
          </w:p>
        </w:tc>
        <w:tc>
          <w:tcPr>
            <w:tcW w:w="1404" w:type="dxa"/>
            <w:shd w:val="clear" w:color="auto" w:fill="DCE6F1"/>
            <w:vAlign w:val="bottom"/>
          </w:tcPr>
          <w:p w14:paraId="4042F71A"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8</w:t>
            </w:r>
          </w:p>
        </w:tc>
      </w:tr>
    </w:tbl>
    <w:p w14:paraId="1BA3E69D" w14:textId="77777777" w:rsidR="00067C34" w:rsidRDefault="00067C34">
      <w:pPr>
        <w:spacing w:line="360" w:lineRule="auto"/>
        <w:jc w:val="both"/>
        <w:rPr>
          <w:rFonts w:ascii="Arial" w:eastAsia="Arial" w:hAnsi="Arial" w:cs="Arial"/>
          <w:color w:val="000000"/>
        </w:rPr>
      </w:pPr>
    </w:p>
    <w:p w14:paraId="79D2E3B5"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De los 90 sujetos obligados que no cumplieron el piso mínimo y obtuvieron menos de 100 puntos, se tiene que </w:t>
      </w:r>
      <w:r>
        <w:rPr>
          <w:rFonts w:ascii="Arial" w:eastAsia="Arial" w:hAnsi="Arial" w:cs="Arial"/>
          <w:b/>
          <w:color w:val="000000"/>
        </w:rPr>
        <w:t>63 cumplieron parcialmente</w:t>
      </w:r>
      <w:r>
        <w:rPr>
          <w:rFonts w:ascii="Arial" w:eastAsia="Arial" w:hAnsi="Arial" w:cs="Arial"/>
          <w:color w:val="000000"/>
        </w:rPr>
        <w:t xml:space="preserve"> sus deberes de publicación o actualización por lo que obtuvieron un IGOT de entre 99 y 60 puntos. Éstos se distribuyen de la siguiente forma: cuatro forman parte de la administración pública central; 39 son del ámbito de organismos desconcentrados, descen</w:t>
      </w:r>
      <w:r>
        <w:rPr>
          <w:rFonts w:ascii="Arial" w:eastAsia="Arial" w:hAnsi="Arial" w:cs="Arial"/>
          <w:color w:val="000000"/>
        </w:rPr>
        <w:t xml:space="preserve">tralizados, paraestatales y auxiliares, ocho son alcaldías, un sujeto obligado pertenece al Poder Judicial, dos al Poder Legislativo, dos son órganos autónomos, dos son partidos políticos y cinco sindicatos. </w:t>
      </w:r>
    </w:p>
    <w:p w14:paraId="2A768C51" w14:textId="77777777" w:rsidR="00067C34" w:rsidRDefault="00067C34">
      <w:pPr>
        <w:spacing w:line="360" w:lineRule="auto"/>
        <w:jc w:val="both"/>
        <w:rPr>
          <w:rFonts w:ascii="Arial" w:eastAsia="Arial" w:hAnsi="Arial" w:cs="Arial"/>
          <w:color w:val="000000"/>
        </w:rPr>
      </w:pPr>
    </w:p>
    <w:p w14:paraId="20F1D91E" w14:textId="77777777" w:rsidR="00067C34" w:rsidRDefault="00BA3CD1">
      <w:pPr>
        <w:spacing w:line="360" w:lineRule="auto"/>
        <w:jc w:val="both"/>
        <w:rPr>
          <w:rFonts w:ascii="Arial" w:eastAsia="Arial" w:hAnsi="Arial" w:cs="Arial"/>
          <w:color w:val="000000"/>
          <w:highlight w:val="white"/>
        </w:rPr>
      </w:pPr>
      <w:r>
        <w:rPr>
          <w:rFonts w:ascii="Arial" w:eastAsia="Arial" w:hAnsi="Arial" w:cs="Arial"/>
          <w:color w:val="000000"/>
        </w:rPr>
        <w:t xml:space="preserve">Por otra parte, </w:t>
      </w:r>
      <w:r>
        <w:rPr>
          <w:rFonts w:ascii="Arial" w:eastAsia="Arial" w:hAnsi="Arial" w:cs="Arial"/>
          <w:b/>
          <w:color w:val="000000"/>
        </w:rPr>
        <w:t>20</w:t>
      </w:r>
      <w:r>
        <w:rPr>
          <w:rFonts w:ascii="Arial" w:eastAsia="Arial" w:hAnsi="Arial" w:cs="Arial"/>
          <w:color w:val="000000"/>
        </w:rPr>
        <w:t xml:space="preserve"> sujetos obligados </w:t>
      </w:r>
      <w:r>
        <w:rPr>
          <w:rFonts w:ascii="Arial" w:eastAsia="Arial" w:hAnsi="Arial" w:cs="Arial"/>
          <w:color w:val="000000"/>
          <w:highlight w:val="white"/>
        </w:rPr>
        <w:t>tienen un</w:t>
      </w:r>
      <w:r>
        <w:rPr>
          <w:rFonts w:ascii="Arial" w:eastAsia="Arial" w:hAnsi="Arial" w:cs="Arial"/>
          <w:color w:val="000000"/>
          <w:highlight w:val="white"/>
        </w:rPr>
        <w:t xml:space="preserve"> </w:t>
      </w:r>
      <w:r>
        <w:rPr>
          <w:rFonts w:ascii="Arial" w:eastAsia="Arial" w:hAnsi="Arial" w:cs="Arial"/>
          <w:b/>
          <w:color w:val="000000"/>
          <w:highlight w:val="white"/>
        </w:rPr>
        <w:t>incumplimiento parcial</w:t>
      </w:r>
      <w:r>
        <w:rPr>
          <w:rFonts w:ascii="Arial" w:eastAsia="Arial" w:hAnsi="Arial" w:cs="Arial"/>
          <w:color w:val="000000"/>
          <w:highlight w:val="white"/>
        </w:rPr>
        <w:t xml:space="preserve"> debido a que su Índice Global de Cumplimiento de Obligaciones de Transparencia (IGOT) es menor a 60 (sesenta), pero mayor a 0 (cero) puntos en la publicación y actualización de sus obligaciones mínimas de transparencia. De este grup</w:t>
      </w:r>
      <w:r>
        <w:rPr>
          <w:rFonts w:ascii="Arial" w:eastAsia="Arial" w:hAnsi="Arial" w:cs="Arial"/>
          <w:color w:val="000000"/>
          <w:highlight w:val="white"/>
        </w:rPr>
        <w:t>o, cinco son</w:t>
      </w:r>
      <w:r>
        <w:rPr>
          <w:rFonts w:ascii="Arial" w:eastAsia="Arial" w:hAnsi="Arial" w:cs="Arial"/>
          <w:color w:val="000000"/>
        </w:rPr>
        <w:t xml:space="preserve"> organismos desconcentrados, descentralizados, paraestatales y auxiliares</w:t>
      </w:r>
      <w:r>
        <w:rPr>
          <w:rFonts w:ascii="Arial" w:eastAsia="Arial" w:hAnsi="Arial" w:cs="Arial"/>
          <w:color w:val="000000"/>
          <w:highlight w:val="white"/>
        </w:rPr>
        <w:t>; uno es órgano autónomo; un partido político y trece sindicatos.</w:t>
      </w:r>
    </w:p>
    <w:p w14:paraId="792317A1" w14:textId="77777777" w:rsidR="00067C34" w:rsidRDefault="00067C34">
      <w:pPr>
        <w:spacing w:line="360" w:lineRule="auto"/>
        <w:jc w:val="both"/>
        <w:rPr>
          <w:rFonts w:ascii="Arial" w:eastAsia="Arial" w:hAnsi="Arial" w:cs="Arial"/>
          <w:color w:val="000000"/>
        </w:rPr>
      </w:pPr>
    </w:p>
    <w:p w14:paraId="524E837B"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Por último, </w:t>
      </w:r>
      <w:r>
        <w:rPr>
          <w:rFonts w:ascii="Arial" w:eastAsia="Arial" w:hAnsi="Arial" w:cs="Arial"/>
          <w:b/>
        </w:rPr>
        <w:t xml:space="preserve">7 </w:t>
      </w:r>
      <w:r>
        <w:rPr>
          <w:rFonts w:ascii="Arial" w:eastAsia="Arial" w:hAnsi="Arial" w:cs="Arial"/>
          <w:color w:val="000000"/>
        </w:rPr>
        <w:t xml:space="preserve">sujetos obligados </w:t>
      </w:r>
      <w:r>
        <w:rPr>
          <w:rFonts w:ascii="Arial" w:eastAsia="Arial" w:hAnsi="Arial" w:cs="Arial"/>
          <w:b/>
          <w:color w:val="000000"/>
        </w:rPr>
        <w:t>incumplieron totalmente</w:t>
      </w:r>
      <w:r>
        <w:rPr>
          <w:rFonts w:ascii="Arial" w:eastAsia="Arial" w:hAnsi="Arial" w:cs="Arial"/>
          <w:color w:val="000000"/>
        </w:rPr>
        <w:t xml:space="preserve"> la publicación y actualización de sus obligacion</w:t>
      </w:r>
      <w:r>
        <w:rPr>
          <w:rFonts w:ascii="Arial" w:eastAsia="Arial" w:hAnsi="Arial" w:cs="Arial"/>
          <w:color w:val="000000"/>
        </w:rPr>
        <w:t>es mínimas de transparencia por lo que tienen un IGOT de 0 y tampoco atendieron ninguna de las observaciones y recomendaciones que se les hicieron para tal fin en la Segunda Evaluación Vinculante. Uno pertenece al ámbito de organismos desconcentrados, desc</w:t>
      </w:r>
      <w:r>
        <w:rPr>
          <w:rFonts w:ascii="Arial" w:eastAsia="Arial" w:hAnsi="Arial" w:cs="Arial"/>
          <w:color w:val="000000"/>
        </w:rPr>
        <w:t>entralizados, paraestatales y auxiliares, tres son partidos políticos y tres son sindicatos.</w:t>
      </w:r>
    </w:p>
    <w:p w14:paraId="2916F999" w14:textId="77777777" w:rsidR="00067C34" w:rsidRDefault="00067C34">
      <w:pPr>
        <w:spacing w:line="360" w:lineRule="auto"/>
        <w:jc w:val="both"/>
        <w:rPr>
          <w:rFonts w:ascii="Arial" w:eastAsia="Arial" w:hAnsi="Arial" w:cs="Arial"/>
          <w:color w:val="000000"/>
        </w:rPr>
      </w:pPr>
    </w:p>
    <w:p w14:paraId="71723C58" w14:textId="77777777" w:rsidR="00067C34" w:rsidRDefault="00BA3CD1">
      <w:pPr>
        <w:spacing w:line="360" w:lineRule="auto"/>
        <w:jc w:val="center"/>
        <w:rPr>
          <w:rFonts w:ascii="Arial" w:eastAsia="Arial" w:hAnsi="Arial" w:cs="Arial"/>
          <w:color w:val="000000"/>
        </w:rPr>
      </w:pPr>
      <w:r>
        <w:rPr>
          <w:noProof/>
        </w:rPr>
        <w:drawing>
          <wp:inline distT="0" distB="0" distL="0" distR="0" wp14:anchorId="4F5F5FF5" wp14:editId="18F111BF">
            <wp:extent cx="5734050" cy="3876675"/>
            <wp:effectExtent l="0" t="0" r="0" b="0"/>
            <wp:docPr id="1277849389" name="Gráfico 12778493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81ED09" w14:textId="77777777" w:rsidR="00067C34" w:rsidRDefault="00067C34">
      <w:pPr>
        <w:spacing w:line="360" w:lineRule="auto"/>
        <w:jc w:val="both"/>
        <w:rPr>
          <w:rFonts w:ascii="Arial" w:eastAsia="Arial" w:hAnsi="Arial" w:cs="Arial"/>
          <w:color w:val="000000"/>
        </w:rPr>
      </w:pPr>
    </w:p>
    <w:p w14:paraId="016F4FDC" w14:textId="77777777" w:rsidR="00067C34" w:rsidRDefault="00067C34">
      <w:pPr>
        <w:spacing w:line="360" w:lineRule="auto"/>
        <w:jc w:val="both"/>
        <w:rPr>
          <w:rFonts w:ascii="Arial" w:eastAsia="Arial" w:hAnsi="Arial" w:cs="Arial"/>
          <w:color w:val="000000"/>
        </w:rPr>
      </w:pPr>
    </w:p>
    <w:p w14:paraId="26575961" w14:textId="77777777" w:rsidR="00067C34" w:rsidRDefault="00067C34">
      <w:pPr>
        <w:spacing w:line="360" w:lineRule="auto"/>
        <w:jc w:val="both"/>
        <w:rPr>
          <w:rFonts w:ascii="Arial" w:eastAsia="Arial" w:hAnsi="Arial" w:cs="Arial"/>
          <w:color w:val="000000"/>
        </w:rPr>
      </w:pPr>
    </w:p>
    <w:p w14:paraId="000CA966" w14:textId="77777777" w:rsidR="00067C34" w:rsidRDefault="00BA3CD1">
      <w:pPr>
        <w:spacing w:line="360" w:lineRule="auto"/>
        <w:jc w:val="both"/>
        <w:rPr>
          <w:rFonts w:ascii="Arial" w:eastAsia="Arial" w:hAnsi="Arial" w:cs="Arial"/>
          <w:color w:val="000000"/>
        </w:rPr>
      </w:pPr>
      <w:r>
        <w:rPr>
          <w:noProof/>
        </w:rPr>
        <w:drawing>
          <wp:inline distT="0" distB="0" distL="0" distR="0" wp14:anchorId="73429AC2" wp14:editId="5D380487">
            <wp:extent cx="5940000" cy="3960000"/>
            <wp:effectExtent l="0" t="0" r="0" b="0"/>
            <wp:docPr id="1277849391" name="Gráfico 1277849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CB4DCA" w14:textId="77777777" w:rsidR="00067C34" w:rsidRDefault="00067C34">
      <w:pPr>
        <w:spacing w:line="360" w:lineRule="auto"/>
        <w:jc w:val="both"/>
        <w:rPr>
          <w:rFonts w:ascii="Arial" w:eastAsia="Arial" w:hAnsi="Arial" w:cs="Arial"/>
          <w:color w:val="000000"/>
        </w:rPr>
      </w:pPr>
    </w:p>
    <w:p w14:paraId="12740229"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El promedio de cumplimento en las obligaciones de transparencia tomando como referencia el IGOT por ámbito se tiene que, la mayor mejora tuvo lugar en los órganos desconcentrados, fondos y fideicomisos que pasó de 73.78 en la Segunda Evaluación a 86.10 en </w:t>
      </w:r>
      <w:r>
        <w:rPr>
          <w:rFonts w:ascii="Arial" w:eastAsia="Arial" w:hAnsi="Arial" w:cs="Arial"/>
          <w:color w:val="000000"/>
        </w:rPr>
        <w:t xml:space="preserve">la Tercera, con un avance de 12.32 puntos; el segundo mayor avance lo tuvieron las once alcaldías que pasaron de 90.13 a 97.70; los partidos políticos que mejoraron 7.08 puntos al pasar de 54.42 al 61.50 y finalmente destaca la mejora en la administración </w:t>
      </w:r>
      <w:r>
        <w:rPr>
          <w:rFonts w:ascii="Arial" w:eastAsia="Arial" w:hAnsi="Arial" w:cs="Arial"/>
          <w:color w:val="000000"/>
        </w:rPr>
        <w:t xml:space="preserve">pública que pasó de 90.18 a 96.84 en la Tercera Evaluación. A continuación, se presentan los resultados comparados en todos los ámbitos con las diferencias obtenidas entre una y otra evaluación. </w:t>
      </w:r>
    </w:p>
    <w:p w14:paraId="07839820" w14:textId="77777777" w:rsidR="00067C34" w:rsidRDefault="00067C34">
      <w:pPr>
        <w:spacing w:line="360" w:lineRule="auto"/>
        <w:jc w:val="both"/>
        <w:rPr>
          <w:rFonts w:ascii="Arial" w:eastAsia="Arial" w:hAnsi="Arial" w:cs="Arial"/>
          <w:color w:val="000000"/>
        </w:rPr>
      </w:pPr>
    </w:p>
    <w:p w14:paraId="5E6FB081" w14:textId="77777777" w:rsidR="00067C34" w:rsidRDefault="00067C34">
      <w:pPr>
        <w:spacing w:line="360" w:lineRule="auto"/>
        <w:jc w:val="both"/>
        <w:rPr>
          <w:rFonts w:ascii="Arial" w:eastAsia="Arial" w:hAnsi="Arial" w:cs="Arial"/>
          <w:color w:val="000000"/>
        </w:rPr>
      </w:pPr>
    </w:p>
    <w:p w14:paraId="7DD33D7F" w14:textId="77777777" w:rsidR="00067C34" w:rsidRDefault="00BA3CD1">
      <w:pPr>
        <w:spacing w:line="360" w:lineRule="auto"/>
        <w:jc w:val="both"/>
        <w:rPr>
          <w:rFonts w:ascii="Arial" w:eastAsia="Arial" w:hAnsi="Arial" w:cs="Arial"/>
          <w:color w:val="000000"/>
        </w:rPr>
      </w:pPr>
      <w:r>
        <w:rPr>
          <w:noProof/>
        </w:rPr>
        <w:drawing>
          <wp:inline distT="0" distB="0" distL="0" distR="0" wp14:anchorId="49129937" wp14:editId="698CBB94">
            <wp:extent cx="5940000" cy="3960000"/>
            <wp:effectExtent l="0" t="0" r="0" b="0"/>
            <wp:docPr id="1277849390" name="Gráfico 12778493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EB1BE9" w14:textId="77777777" w:rsidR="00067C34" w:rsidRDefault="00067C34">
      <w:pPr>
        <w:spacing w:line="360" w:lineRule="auto"/>
        <w:jc w:val="both"/>
        <w:rPr>
          <w:rFonts w:ascii="Arial" w:eastAsia="Arial" w:hAnsi="Arial" w:cs="Arial"/>
        </w:rPr>
      </w:pPr>
    </w:p>
    <w:p w14:paraId="759A8D56" w14:textId="77777777" w:rsidR="00067C34" w:rsidRDefault="00067C34">
      <w:pPr>
        <w:spacing w:line="360" w:lineRule="auto"/>
        <w:jc w:val="both"/>
        <w:rPr>
          <w:rFonts w:ascii="Arial" w:eastAsia="Arial" w:hAnsi="Arial" w:cs="Arial"/>
        </w:rPr>
      </w:pPr>
    </w:p>
    <w:p w14:paraId="452D1853" w14:textId="77777777" w:rsidR="00067C34" w:rsidRDefault="00BA3CD1">
      <w:pPr>
        <w:spacing w:line="360" w:lineRule="auto"/>
        <w:jc w:val="both"/>
        <w:rPr>
          <w:rFonts w:ascii="Arial" w:eastAsia="Arial" w:hAnsi="Arial" w:cs="Arial"/>
          <w:b/>
        </w:rPr>
      </w:pPr>
      <w:r>
        <w:rPr>
          <w:rFonts w:ascii="Arial" w:eastAsia="Arial" w:hAnsi="Arial" w:cs="Arial"/>
          <w:b/>
        </w:rPr>
        <w:t>Nivel de atención a las observaciones y recomendaciones</w:t>
      </w:r>
    </w:p>
    <w:p w14:paraId="6E0AFA32" w14:textId="77777777" w:rsidR="00067C34" w:rsidRDefault="00067C34">
      <w:pPr>
        <w:spacing w:line="360" w:lineRule="auto"/>
        <w:jc w:val="both"/>
        <w:rPr>
          <w:rFonts w:ascii="Arial" w:eastAsia="Arial" w:hAnsi="Arial" w:cs="Arial"/>
        </w:rPr>
      </w:pPr>
    </w:p>
    <w:p w14:paraId="362D4C65" w14:textId="77777777" w:rsidR="00067C34" w:rsidRDefault="00BA3CD1">
      <w:pPr>
        <w:spacing w:line="360" w:lineRule="auto"/>
        <w:jc w:val="both"/>
        <w:rPr>
          <w:rFonts w:ascii="Arial" w:eastAsia="Arial" w:hAnsi="Arial" w:cs="Arial"/>
        </w:rPr>
      </w:pPr>
      <w:r>
        <w:rPr>
          <w:rFonts w:ascii="Arial" w:eastAsia="Arial" w:hAnsi="Arial" w:cs="Arial"/>
        </w:rPr>
        <w:t xml:space="preserve">Este grupo de sujetos obligados tiene además la característica de que el resultado de ambas evaluaciones los ubica en el nivel de </w:t>
      </w:r>
      <w:r>
        <w:rPr>
          <w:rFonts w:ascii="Arial" w:eastAsia="Arial" w:hAnsi="Arial" w:cs="Arial"/>
          <w:b/>
        </w:rPr>
        <w:t>incumplimiento parcial o incumplimiento total</w:t>
      </w:r>
      <w:r>
        <w:rPr>
          <w:rFonts w:ascii="Arial" w:eastAsia="Arial" w:hAnsi="Arial" w:cs="Arial"/>
        </w:rPr>
        <w:t xml:space="preserve"> ya que el valor más alt</w:t>
      </w:r>
      <w:r>
        <w:rPr>
          <w:rFonts w:ascii="Arial" w:eastAsia="Arial" w:hAnsi="Arial" w:cs="Arial"/>
        </w:rPr>
        <w:t xml:space="preserve">o es de 49.83 para Servicios Metropolitanos S.A de C.V, seguido de Morena con 35.13 y el Fideicomiso para el Fondo de Promoción para el Financiamiento del Transporte Público con 10.54 puntos. </w:t>
      </w:r>
    </w:p>
    <w:p w14:paraId="02D89ED4" w14:textId="77777777" w:rsidR="00067C34" w:rsidRDefault="00067C34">
      <w:pPr>
        <w:spacing w:before="240" w:after="240" w:line="360" w:lineRule="auto"/>
        <w:rPr>
          <w:rFonts w:ascii="Arial" w:eastAsia="Arial" w:hAnsi="Arial" w:cs="Arial"/>
          <w:b/>
        </w:rPr>
      </w:pPr>
    </w:p>
    <w:p w14:paraId="4B51E037" w14:textId="77777777" w:rsidR="00067C34" w:rsidRDefault="00BA3CD1">
      <w:pPr>
        <w:spacing w:before="240" w:after="240" w:line="360" w:lineRule="auto"/>
        <w:rPr>
          <w:rFonts w:ascii="Arial" w:eastAsia="Arial" w:hAnsi="Arial" w:cs="Arial"/>
          <w:b/>
        </w:rPr>
      </w:pPr>
      <w:r>
        <w:rPr>
          <w:rFonts w:ascii="Arial" w:eastAsia="Arial" w:hAnsi="Arial" w:cs="Arial"/>
          <w:b/>
        </w:rPr>
        <w:t>Impacto de las asesorías técnicas especializadas en el cumplim</w:t>
      </w:r>
      <w:r>
        <w:rPr>
          <w:rFonts w:ascii="Arial" w:eastAsia="Arial" w:hAnsi="Arial" w:cs="Arial"/>
          <w:b/>
        </w:rPr>
        <w:t>iento de las obligaciones de transparencia</w:t>
      </w:r>
    </w:p>
    <w:p w14:paraId="1F13767A" w14:textId="77777777" w:rsidR="00067C34" w:rsidRDefault="00BA3CD1">
      <w:pPr>
        <w:spacing w:before="240" w:after="240" w:line="360" w:lineRule="auto"/>
        <w:jc w:val="both"/>
        <w:rPr>
          <w:rFonts w:ascii="Arial" w:eastAsia="Arial" w:hAnsi="Arial" w:cs="Arial"/>
        </w:rPr>
      </w:pPr>
      <w:r>
        <w:rPr>
          <w:rFonts w:ascii="Arial" w:eastAsia="Arial" w:hAnsi="Arial" w:cs="Arial"/>
        </w:rPr>
        <w:t>Del 2 al 28 de octubre (periodo establecido por el Pleno para atender las recomendaciones) la DEAEE acompañó a los sujetos obligados a través de 80 asesorías técnicas especializadas que se brindaron a 33 sujetos o</w:t>
      </w:r>
      <w:r>
        <w:rPr>
          <w:rFonts w:ascii="Arial" w:eastAsia="Arial" w:hAnsi="Arial" w:cs="Arial"/>
        </w:rPr>
        <w:t>bligados.</w:t>
      </w:r>
    </w:p>
    <w:p w14:paraId="48B4DE4B" w14:textId="77777777" w:rsidR="00067C34" w:rsidRDefault="00BA3CD1">
      <w:pPr>
        <w:spacing w:before="240" w:after="240" w:line="360" w:lineRule="auto"/>
        <w:jc w:val="both"/>
        <w:rPr>
          <w:rFonts w:ascii="Arial" w:eastAsia="Arial" w:hAnsi="Arial" w:cs="Arial"/>
        </w:rPr>
      </w:pPr>
      <w:r>
        <w:rPr>
          <w:rFonts w:ascii="Arial" w:eastAsia="Arial" w:hAnsi="Arial" w:cs="Arial"/>
        </w:rPr>
        <w:t>Destaca que todos los sujetos obligados que recibieron asesoría técnica por parte de la Dirección tuvieron un incremento mayor en su nivel de cumplimiento de obligaciones de transparencia que los que no recibieron asesoría, lo que da prueba de la</w:t>
      </w:r>
      <w:r>
        <w:rPr>
          <w:rFonts w:ascii="Arial" w:eastAsia="Arial" w:hAnsi="Arial" w:cs="Arial"/>
        </w:rPr>
        <w:t xml:space="preserve"> eficacia de esta estrategia para abatir el incumplimiento prevista en el </w:t>
      </w:r>
      <w:r>
        <w:rPr>
          <w:rFonts w:ascii="Arial" w:eastAsia="Arial" w:hAnsi="Arial" w:cs="Arial"/>
          <w:i/>
        </w:rPr>
        <w:t>Plan Estratégico para Desarrollar la Agenda de Estado Abierto desde el Instituto 2019-2025</w:t>
      </w:r>
      <w:r>
        <w:rPr>
          <w:rFonts w:ascii="Arial" w:eastAsia="Arial" w:hAnsi="Arial" w:cs="Arial"/>
        </w:rPr>
        <w:t>.</w:t>
      </w:r>
    </w:p>
    <w:tbl>
      <w:tblPr>
        <w:tblStyle w:val="aff2"/>
        <w:tblW w:w="93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4"/>
        <w:gridCol w:w="2806"/>
        <w:gridCol w:w="2861"/>
        <w:gridCol w:w="1285"/>
      </w:tblGrid>
      <w:tr w:rsidR="00067C34" w14:paraId="495B1540" w14:textId="77777777">
        <w:trPr>
          <w:trHeight w:val="665"/>
        </w:trPr>
        <w:tc>
          <w:tcPr>
            <w:tcW w:w="2404" w:type="dxa"/>
            <w:tcBorders>
              <w:top w:val="nil"/>
              <w:left w:val="nil"/>
              <w:bottom w:val="single" w:sz="12" w:space="0" w:color="8EAADB"/>
              <w:right w:val="nil"/>
            </w:tcBorders>
            <w:shd w:val="clear" w:color="auto" w:fill="FFFFFF"/>
            <w:tcMar>
              <w:top w:w="100" w:type="dxa"/>
              <w:left w:w="100" w:type="dxa"/>
              <w:bottom w:w="100" w:type="dxa"/>
              <w:right w:w="100" w:type="dxa"/>
            </w:tcMar>
          </w:tcPr>
          <w:p w14:paraId="5DC0B105" w14:textId="77777777" w:rsidR="00067C34" w:rsidRDefault="00BA3CD1">
            <w:pPr>
              <w:jc w:val="center"/>
              <w:rPr>
                <w:rFonts w:ascii="Arial" w:eastAsia="Arial" w:hAnsi="Arial" w:cs="Arial"/>
                <w:b/>
                <w:sz w:val="20"/>
                <w:szCs w:val="20"/>
              </w:rPr>
            </w:pPr>
            <w:r>
              <w:rPr>
                <w:rFonts w:ascii="Arial" w:eastAsia="Arial" w:hAnsi="Arial" w:cs="Arial"/>
                <w:b/>
                <w:sz w:val="20"/>
                <w:szCs w:val="20"/>
              </w:rPr>
              <w:t>Ámbito de gobierno</w:t>
            </w:r>
          </w:p>
        </w:tc>
        <w:tc>
          <w:tcPr>
            <w:tcW w:w="2805" w:type="dxa"/>
            <w:tcBorders>
              <w:top w:val="nil"/>
              <w:left w:val="nil"/>
              <w:bottom w:val="single" w:sz="12" w:space="0" w:color="8EAADB"/>
              <w:right w:val="nil"/>
            </w:tcBorders>
            <w:shd w:val="clear" w:color="auto" w:fill="FFFFFF"/>
            <w:tcMar>
              <w:top w:w="100" w:type="dxa"/>
              <w:left w:w="100" w:type="dxa"/>
              <w:bottom w:w="100" w:type="dxa"/>
              <w:right w:w="100" w:type="dxa"/>
            </w:tcMar>
          </w:tcPr>
          <w:p w14:paraId="4453FB7C" w14:textId="77777777" w:rsidR="00067C34" w:rsidRDefault="00BA3CD1">
            <w:pPr>
              <w:jc w:val="center"/>
              <w:rPr>
                <w:rFonts w:ascii="Arial" w:eastAsia="Arial" w:hAnsi="Arial" w:cs="Arial"/>
                <w:b/>
                <w:sz w:val="20"/>
                <w:szCs w:val="20"/>
              </w:rPr>
            </w:pPr>
            <w:r>
              <w:rPr>
                <w:rFonts w:ascii="Arial" w:eastAsia="Arial" w:hAnsi="Arial" w:cs="Arial"/>
                <w:b/>
                <w:sz w:val="20"/>
                <w:szCs w:val="20"/>
              </w:rPr>
              <w:t>Promedio de los que SÍ recibieron asesoría</w:t>
            </w:r>
          </w:p>
        </w:tc>
        <w:tc>
          <w:tcPr>
            <w:tcW w:w="2860" w:type="dxa"/>
            <w:tcBorders>
              <w:top w:val="nil"/>
              <w:left w:val="nil"/>
              <w:bottom w:val="single" w:sz="12" w:space="0" w:color="8EAADB"/>
              <w:right w:val="nil"/>
            </w:tcBorders>
            <w:shd w:val="clear" w:color="auto" w:fill="FFFFFF"/>
            <w:tcMar>
              <w:top w:w="100" w:type="dxa"/>
              <w:left w:w="100" w:type="dxa"/>
              <w:bottom w:w="100" w:type="dxa"/>
              <w:right w:w="100" w:type="dxa"/>
            </w:tcMar>
          </w:tcPr>
          <w:p w14:paraId="64E3A8C0" w14:textId="77777777" w:rsidR="00067C34" w:rsidRDefault="00BA3CD1">
            <w:pPr>
              <w:jc w:val="center"/>
              <w:rPr>
                <w:rFonts w:ascii="Arial" w:eastAsia="Arial" w:hAnsi="Arial" w:cs="Arial"/>
                <w:b/>
                <w:sz w:val="20"/>
                <w:szCs w:val="20"/>
              </w:rPr>
            </w:pPr>
            <w:r>
              <w:rPr>
                <w:rFonts w:ascii="Arial" w:eastAsia="Arial" w:hAnsi="Arial" w:cs="Arial"/>
                <w:b/>
                <w:sz w:val="20"/>
                <w:szCs w:val="20"/>
              </w:rPr>
              <w:t>Promedio de los que NO recib</w:t>
            </w:r>
            <w:r>
              <w:rPr>
                <w:rFonts w:ascii="Arial" w:eastAsia="Arial" w:hAnsi="Arial" w:cs="Arial"/>
                <w:b/>
                <w:sz w:val="20"/>
                <w:szCs w:val="20"/>
              </w:rPr>
              <w:t>ieron asesoría</w:t>
            </w:r>
          </w:p>
        </w:tc>
        <w:tc>
          <w:tcPr>
            <w:tcW w:w="1285" w:type="dxa"/>
            <w:tcBorders>
              <w:top w:val="nil"/>
              <w:left w:val="nil"/>
              <w:bottom w:val="single" w:sz="12" w:space="0" w:color="8EAADB"/>
              <w:right w:val="nil"/>
            </w:tcBorders>
            <w:shd w:val="clear" w:color="auto" w:fill="FFFFFF"/>
            <w:tcMar>
              <w:top w:w="100" w:type="dxa"/>
              <w:left w:w="100" w:type="dxa"/>
              <w:bottom w:w="100" w:type="dxa"/>
              <w:right w:w="100" w:type="dxa"/>
            </w:tcMar>
          </w:tcPr>
          <w:p w14:paraId="0CCDAC63" w14:textId="77777777" w:rsidR="00067C34" w:rsidRDefault="00BA3CD1">
            <w:pPr>
              <w:jc w:val="center"/>
              <w:rPr>
                <w:rFonts w:ascii="Arial" w:eastAsia="Arial" w:hAnsi="Arial" w:cs="Arial"/>
                <w:b/>
                <w:sz w:val="20"/>
                <w:szCs w:val="20"/>
              </w:rPr>
            </w:pPr>
            <w:r>
              <w:rPr>
                <w:rFonts w:ascii="Arial" w:eastAsia="Arial" w:hAnsi="Arial" w:cs="Arial"/>
                <w:b/>
                <w:sz w:val="20"/>
                <w:szCs w:val="20"/>
              </w:rPr>
              <w:t>Promedio</w:t>
            </w:r>
          </w:p>
        </w:tc>
      </w:tr>
      <w:tr w:rsidR="00067C34" w14:paraId="2EB61FE1" w14:textId="77777777">
        <w:trPr>
          <w:trHeight w:val="665"/>
        </w:trPr>
        <w:tc>
          <w:tcPr>
            <w:tcW w:w="2404"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464B166F" w14:textId="77777777" w:rsidR="00067C34" w:rsidRDefault="00BA3CD1">
            <w:pPr>
              <w:jc w:val="both"/>
              <w:rPr>
                <w:rFonts w:ascii="Arial" w:eastAsia="Arial" w:hAnsi="Arial" w:cs="Arial"/>
                <w:sz w:val="20"/>
                <w:szCs w:val="20"/>
              </w:rPr>
            </w:pPr>
            <w:r>
              <w:rPr>
                <w:rFonts w:ascii="Arial" w:eastAsia="Arial" w:hAnsi="Arial" w:cs="Arial"/>
                <w:sz w:val="20"/>
                <w:szCs w:val="20"/>
              </w:rPr>
              <w:t>Administración Pública Central</w:t>
            </w:r>
          </w:p>
        </w:tc>
        <w:tc>
          <w:tcPr>
            <w:tcW w:w="2805"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49A88687" w14:textId="77777777" w:rsidR="00067C34" w:rsidRDefault="00BA3CD1">
            <w:pPr>
              <w:jc w:val="center"/>
              <w:rPr>
                <w:rFonts w:ascii="Arial" w:eastAsia="Arial" w:hAnsi="Arial" w:cs="Arial"/>
                <w:sz w:val="20"/>
                <w:szCs w:val="20"/>
              </w:rPr>
            </w:pPr>
            <w:r>
              <w:rPr>
                <w:rFonts w:ascii="Arial" w:eastAsia="Arial" w:hAnsi="Arial" w:cs="Arial"/>
                <w:sz w:val="20"/>
                <w:szCs w:val="20"/>
              </w:rPr>
              <w:t>6.83</w:t>
            </w:r>
          </w:p>
        </w:tc>
        <w:tc>
          <w:tcPr>
            <w:tcW w:w="2860"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613DB997" w14:textId="77777777" w:rsidR="00067C34" w:rsidRDefault="00BA3CD1">
            <w:pPr>
              <w:jc w:val="center"/>
              <w:rPr>
                <w:rFonts w:ascii="Arial" w:eastAsia="Arial" w:hAnsi="Arial" w:cs="Arial"/>
                <w:sz w:val="20"/>
                <w:szCs w:val="20"/>
              </w:rPr>
            </w:pPr>
            <w:r>
              <w:rPr>
                <w:rFonts w:ascii="Arial" w:eastAsia="Arial" w:hAnsi="Arial" w:cs="Arial"/>
                <w:sz w:val="20"/>
                <w:szCs w:val="20"/>
              </w:rPr>
              <w:t>6.62</w:t>
            </w:r>
          </w:p>
        </w:tc>
        <w:tc>
          <w:tcPr>
            <w:tcW w:w="1285" w:type="dxa"/>
            <w:tcBorders>
              <w:top w:val="nil"/>
              <w:left w:val="nil"/>
              <w:bottom w:val="single" w:sz="8" w:space="0" w:color="8EAADB"/>
              <w:right w:val="nil"/>
            </w:tcBorders>
            <w:shd w:val="clear" w:color="auto" w:fill="D9E2F3"/>
            <w:tcMar>
              <w:top w:w="100" w:type="dxa"/>
              <w:left w:w="100" w:type="dxa"/>
              <w:bottom w:w="100" w:type="dxa"/>
              <w:right w:w="100" w:type="dxa"/>
            </w:tcMar>
          </w:tcPr>
          <w:p w14:paraId="1805B9D0" w14:textId="77777777" w:rsidR="00067C34" w:rsidRDefault="00BA3CD1">
            <w:pPr>
              <w:jc w:val="center"/>
              <w:rPr>
                <w:rFonts w:ascii="Arial" w:eastAsia="Arial" w:hAnsi="Arial" w:cs="Arial"/>
                <w:sz w:val="20"/>
                <w:szCs w:val="20"/>
              </w:rPr>
            </w:pPr>
            <w:r>
              <w:rPr>
                <w:rFonts w:ascii="Arial" w:eastAsia="Arial" w:hAnsi="Arial" w:cs="Arial"/>
                <w:sz w:val="20"/>
                <w:szCs w:val="20"/>
              </w:rPr>
              <w:t>6.66</w:t>
            </w:r>
          </w:p>
        </w:tc>
      </w:tr>
      <w:tr w:rsidR="00067C34" w14:paraId="2A8D257B" w14:textId="77777777">
        <w:trPr>
          <w:trHeight w:val="485"/>
        </w:trPr>
        <w:tc>
          <w:tcPr>
            <w:tcW w:w="2404" w:type="dxa"/>
            <w:tcBorders>
              <w:top w:val="nil"/>
              <w:left w:val="nil"/>
              <w:bottom w:val="single" w:sz="8" w:space="0" w:color="8EAADB"/>
              <w:right w:val="single" w:sz="8" w:space="0" w:color="8EAADB"/>
            </w:tcBorders>
            <w:tcMar>
              <w:top w:w="100" w:type="dxa"/>
              <w:left w:w="100" w:type="dxa"/>
              <w:bottom w:w="100" w:type="dxa"/>
              <w:right w:w="100" w:type="dxa"/>
            </w:tcMar>
          </w:tcPr>
          <w:p w14:paraId="1BF1C0E0" w14:textId="77777777" w:rsidR="00067C34" w:rsidRDefault="00BA3CD1">
            <w:pPr>
              <w:jc w:val="both"/>
              <w:rPr>
                <w:rFonts w:ascii="Arial" w:eastAsia="Arial" w:hAnsi="Arial" w:cs="Arial"/>
                <w:sz w:val="20"/>
                <w:szCs w:val="20"/>
              </w:rPr>
            </w:pPr>
            <w:r>
              <w:rPr>
                <w:rFonts w:ascii="Arial" w:eastAsia="Arial" w:hAnsi="Arial" w:cs="Arial"/>
                <w:sz w:val="20"/>
                <w:szCs w:val="20"/>
              </w:rPr>
              <w:t>Alcaldías</w:t>
            </w:r>
          </w:p>
        </w:tc>
        <w:tc>
          <w:tcPr>
            <w:tcW w:w="2805" w:type="dxa"/>
            <w:tcBorders>
              <w:top w:val="nil"/>
              <w:left w:val="nil"/>
              <w:bottom w:val="single" w:sz="8" w:space="0" w:color="8EAADB"/>
              <w:right w:val="single" w:sz="8" w:space="0" w:color="8EAADB"/>
            </w:tcBorders>
            <w:tcMar>
              <w:top w:w="100" w:type="dxa"/>
              <w:left w:w="100" w:type="dxa"/>
              <w:bottom w:w="100" w:type="dxa"/>
              <w:right w:w="100" w:type="dxa"/>
            </w:tcMar>
          </w:tcPr>
          <w:p w14:paraId="24810574" w14:textId="77777777" w:rsidR="00067C34" w:rsidRDefault="00BA3CD1">
            <w:pPr>
              <w:jc w:val="center"/>
              <w:rPr>
                <w:rFonts w:ascii="Arial" w:eastAsia="Arial" w:hAnsi="Arial" w:cs="Arial"/>
                <w:sz w:val="20"/>
                <w:szCs w:val="20"/>
              </w:rPr>
            </w:pPr>
            <w:r>
              <w:rPr>
                <w:rFonts w:ascii="Arial" w:eastAsia="Arial" w:hAnsi="Arial" w:cs="Arial"/>
                <w:sz w:val="20"/>
                <w:szCs w:val="20"/>
              </w:rPr>
              <w:t>8.28</w:t>
            </w:r>
          </w:p>
        </w:tc>
        <w:tc>
          <w:tcPr>
            <w:tcW w:w="2860" w:type="dxa"/>
            <w:tcBorders>
              <w:top w:val="nil"/>
              <w:left w:val="nil"/>
              <w:bottom w:val="single" w:sz="8" w:space="0" w:color="8EAADB"/>
              <w:right w:val="single" w:sz="8" w:space="0" w:color="8EAADB"/>
            </w:tcBorders>
            <w:tcMar>
              <w:top w:w="100" w:type="dxa"/>
              <w:left w:w="100" w:type="dxa"/>
              <w:bottom w:w="100" w:type="dxa"/>
              <w:right w:w="100" w:type="dxa"/>
            </w:tcMar>
          </w:tcPr>
          <w:p w14:paraId="04BAEFD6" w14:textId="77777777" w:rsidR="00067C34" w:rsidRDefault="00BA3CD1">
            <w:pPr>
              <w:jc w:val="center"/>
              <w:rPr>
                <w:rFonts w:ascii="Arial" w:eastAsia="Arial" w:hAnsi="Arial" w:cs="Arial"/>
                <w:sz w:val="20"/>
                <w:szCs w:val="20"/>
              </w:rPr>
            </w:pPr>
            <w:r>
              <w:rPr>
                <w:rFonts w:ascii="Arial" w:eastAsia="Arial" w:hAnsi="Arial" w:cs="Arial"/>
                <w:sz w:val="20"/>
                <w:szCs w:val="20"/>
              </w:rPr>
              <w:t>7.31</w:t>
            </w:r>
          </w:p>
        </w:tc>
        <w:tc>
          <w:tcPr>
            <w:tcW w:w="1285" w:type="dxa"/>
            <w:tcBorders>
              <w:top w:val="nil"/>
              <w:left w:val="nil"/>
              <w:bottom w:val="single" w:sz="8" w:space="0" w:color="8EAADB"/>
              <w:right w:val="nil"/>
            </w:tcBorders>
            <w:tcMar>
              <w:top w:w="100" w:type="dxa"/>
              <w:left w:w="100" w:type="dxa"/>
              <w:bottom w:w="100" w:type="dxa"/>
              <w:right w:w="100" w:type="dxa"/>
            </w:tcMar>
          </w:tcPr>
          <w:p w14:paraId="128F9D2B" w14:textId="77777777" w:rsidR="00067C34" w:rsidRDefault="00BA3CD1">
            <w:pPr>
              <w:jc w:val="center"/>
              <w:rPr>
                <w:rFonts w:ascii="Arial" w:eastAsia="Arial" w:hAnsi="Arial" w:cs="Arial"/>
                <w:sz w:val="20"/>
                <w:szCs w:val="20"/>
              </w:rPr>
            </w:pPr>
            <w:r>
              <w:rPr>
                <w:rFonts w:ascii="Arial" w:eastAsia="Arial" w:hAnsi="Arial" w:cs="Arial"/>
                <w:sz w:val="20"/>
                <w:szCs w:val="20"/>
              </w:rPr>
              <w:t>7.58</w:t>
            </w:r>
          </w:p>
        </w:tc>
      </w:tr>
      <w:tr w:rsidR="00067C34" w14:paraId="17F7EFE9" w14:textId="77777777">
        <w:trPr>
          <w:trHeight w:val="665"/>
        </w:trPr>
        <w:tc>
          <w:tcPr>
            <w:tcW w:w="2404"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03E3B5A1"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w:t>
            </w:r>
          </w:p>
        </w:tc>
        <w:tc>
          <w:tcPr>
            <w:tcW w:w="2805"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51BBA213" w14:textId="77777777" w:rsidR="00067C34" w:rsidRDefault="00BA3CD1">
            <w:pPr>
              <w:jc w:val="center"/>
              <w:rPr>
                <w:rFonts w:ascii="Arial" w:eastAsia="Arial" w:hAnsi="Arial" w:cs="Arial"/>
                <w:sz w:val="20"/>
                <w:szCs w:val="20"/>
              </w:rPr>
            </w:pPr>
            <w:r>
              <w:rPr>
                <w:rFonts w:ascii="Arial" w:eastAsia="Arial" w:hAnsi="Arial" w:cs="Arial"/>
                <w:sz w:val="20"/>
                <w:szCs w:val="20"/>
              </w:rPr>
              <w:t>17.29</w:t>
            </w:r>
          </w:p>
        </w:tc>
        <w:tc>
          <w:tcPr>
            <w:tcW w:w="2860"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2645A2C6" w14:textId="77777777" w:rsidR="00067C34" w:rsidRDefault="00BA3CD1">
            <w:pPr>
              <w:jc w:val="center"/>
              <w:rPr>
                <w:rFonts w:ascii="Arial" w:eastAsia="Arial" w:hAnsi="Arial" w:cs="Arial"/>
                <w:sz w:val="20"/>
                <w:szCs w:val="20"/>
              </w:rPr>
            </w:pPr>
            <w:r>
              <w:rPr>
                <w:rFonts w:ascii="Arial" w:eastAsia="Arial" w:hAnsi="Arial" w:cs="Arial"/>
                <w:sz w:val="20"/>
                <w:szCs w:val="20"/>
              </w:rPr>
              <w:t>9.92</w:t>
            </w:r>
          </w:p>
        </w:tc>
        <w:tc>
          <w:tcPr>
            <w:tcW w:w="1285" w:type="dxa"/>
            <w:tcBorders>
              <w:top w:val="nil"/>
              <w:left w:val="nil"/>
              <w:bottom w:val="single" w:sz="8" w:space="0" w:color="8EAADB"/>
              <w:right w:val="nil"/>
            </w:tcBorders>
            <w:shd w:val="clear" w:color="auto" w:fill="D9E2F3"/>
            <w:tcMar>
              <w:top w:w="100" w:type="dxa"/>
              <w:left w:w="100" w:type="dxa"/>
              <w:bottom w:w="100" w:type="dxa"/>
              <w:right w:w="100" w:type="dxa"/>
            </w:tcMar>
          </w:tcPr>
          <w:p w14:paraId="588240AC" w14:textId="77777777" w:rsidR="00067C34" w:rsidRDefault="00BA3CD1">
            <w:pPr>
              <w:jc w:val="center"/>
              <w:rPr>
                <w:rFonts w:ascii="Arial" w:eastAsia="Arial" w:hAnsi="Arial" w:cs="Arial"/>
                <w:sz w:val="20"/>
                <w:szCs w:val="20"/>
              </w:rPr>
            </w:pPr>
            <w:r>
              <w:rPr>
                <w:rFonts w:ascii="Arial" w:eastAsia="Arial" w:hAnsi="Arial" w:cs="Arial"/>
                <w:sz w:val="20"/>
                <w:szCs w:val="20"/>
              </w:rPr>
              <w:t>12.29</w:t>
            </w:r>
          </w:p>
        </w:tc>
      </w:tr>
      <w:tr w:rsidR="00067C34" w14:paraId="7513F275" w14:textId="77777777">
        <w:trPr>
          <w:trHeight w:val="485"/>
        </w:trPr>
        <w:tc>
          <w:tcPr>
            <w:tcW w:w="2404" w:type="dxa"/>
            <w:tcBorders>
              <w:top w:val="nil"/>
              <w:left w:val="nil"/>
              <w:bottom w:val="single" w:sz="8" w:space="0" w:color="8EAADB"/>
              <w:right w:val="single" w:sz="8" w:space="0" w:color="8EAADB"/>
            </w:tcBorders>
            <w:tcMar>
              <w:top w:w="100" w:type="dxa"/>
              <w:left w:w="100" w:type="dxa"/>
              <w:bottom w:w="100" w:type="dxa"/>
              <w:right w:w="100" w:type="dxa"/>
            </w:tcMar>
          </w:tcPr>
          <w:p w14:paraId="1DBB86ED" w14:textId="77777777" w:rsidR="00067C34" w:rsidRDefault="00BA3CD1">
            <w:pPr>
              <w:jc w:val="both"/>
              <w:rPr>
                <w:rFonts w:ascii="Arial" w:eastAsia="Arial" w:hAnsi="Arial" w:cs="Arial"/>
                <w:sz w:val="20"/>
                <w:szCs w:val="20"/>
              </w:rPr>
            </w:pPr>
            <w:r>
              <w:rPr>
                <w:rFonts w:ascii="Arial" w:eastAsia="Arial" w:hAnsi="Arial" w:cs="Arial"/>
                <w:sz w:val="20"/>
                <w:szCs w:val="20"/>
              </w:rPr>
              <w:t>Órganos Autónomos</w:t>
            </w:r>
          </w:p>
        </w:tc>
        <w:tc>
          <w:tcPr>
            <w:tcW w:w="2805" w:type="dxa"/>
            <w:tcBorders>
              <w:top w:val="nil"/>
              <w:left w:val="nil"/>
              <w:bottom w:val="single" w:sz="8" w:space="0" w:color="8EAADB"/>
              <w:right w:val="single" w:sz="8" w:space="0" w:color="8EAADB"/>
            </w:tcBorders>
            <w:tcMar>
              <w:top w:w="100" w:type="dxa"/>
              <w:left w:w="100" w:type="dxa"/>
              <w:bottom w:w="100" w:type="dxa"/>
              <w:right w:w="100" w:type="dxa"/>
            </w:tcMar>
          </w:tcPr>
          <w:p w14:paraId="3E33FE4D" w14:textId="77777777" w:rsidR="00067C34" w:rsidRDefault="00BA3CD1">
            <w:pPr>
              <w:jc w:val="center"/>
              <w:rPr>
                <w:rFonts w:ascii="Arial" w:eastAsia="Arial" w:hAnsi="Arial" w:cs="Arial"/>
                <w:sz w:val="20"/>
                <w:szCs w:val="20"/>
              </w:rPr>
            </w:pPr>
            <w:r>
              <w:rPr>
                <w:rFonts w:ascii="Arial" w:eastAsia="Arial" w:hAnsi="Arial" w:cs="Arial"/>
                <w:sz w:val="20"/>
                <w:szCs w:val="20"/>
              </w:rPr>
              <w:t>3.99</w:t>
            </w:r>
          </w:p>
        </w:tc>
        <w:tc>
          <w:tcPr>
            <w:tcW w:w="2860" w:type="dxa"/>
            <w:tcBorders>
              <w:top w:val="nil"/>
              <w:left w:val="nil"/>
              <w:bottom w:val="single" w:sz="8" w:space="0" w:color="8EAADB"/>
              <w:right w:val="single" w:sz="8" w:space="0" w:color="8EAADB"/>
            </w:tcBorders>
            <w:tcMar>
              <w:top w:w="100" w:type="dxa"/>
              <w:left w:w="100" w:type="dxa"/>
              <w:bottom w:w="100" w:type="dxa"/>
              <w:right w:w="100" w:type="dxa"/>
            </w:tcMar>
          </w:tcPr>
          <w:p w14:paraId="6BAF9F65" w14:textId="77777777" w:rsidR="00067C34" w:rsidRDefault="00BA3CD1">
            <w:pPr>
              <w:jc w:val="center"/>
              <w:rPr>
                <w:rFonts w:ascii="Arial" w:eastAsia="Arial" w:hAnsi="Arial" w:cs="Arial"/>
                <w:sz w:val="20"/>
                <w:szCs w:val="20"/>
              </w:rPr>
            </w:pPr>
            <w:r>
              <w:rPr>
                <w:rFonts w:ascii="Arial" w:eastAsia="Arial" w:hAnsi="Arial" w:cs="Arial"/>
                <w:sz w:val="20"/>
                <w:szCs w:val="20"/>
              </w:rPr>
              <w:t>3.79</w:t>
            </w:r>
          </w:p>
        </w:tc>
        <w:tc>
          <w:tcPr>
            <w:tcW w:w="1285" w:type="dxa"/>
            <w:tcBorders>
              <w:top w:val="nil"/>
              <w:left w:val="nil"/>
              <w:bottom w:val="single" w:sz="8" w:space="0" w:color="8EAADB"/>
              <w:right w:val="nil"/>
            </w:tcBorders>
            <w:tcMar>
              <w:top w:w="100" w:type="dxa"/>
              <w:left w:w="100" w:type="dxa"/>
              <w:bottom w:w="100" w:type="dxa"/>
              <w:right w:w="100" w:type="dxa"/>
            </w:tcMar>
          </w:tcPr>
          <w:p w14:paraId="4B82D436" w14:textId="77777777" w:rsidR="00067C34" w:rsidRDefault="00BA3CD1">
            <w:pPr>
              <w:jc w:val="center"/>
              <w:rPr>
                <w:rFonts w:ascii="Arial" w:eastAsia="Arial" w:hAnsi="Arial" w:cs="Arial"/>
                <w:sz w:val="20"/>
                <w:szCs w:val="20"/>
              </w:rPr>
            </w:pPr>
            <w:r>
              <w:rPr>
                <w:rFonts w:ascii="Arial" w:eastAsia="Arial" w:hAnsi="Arial" w:cs="Arial"/>
                <w:sz w:val="20"/>
                <w:szCs w:val="20"/>
              </w:rPr>
              <w:t>3.87</w:t>
            </w:r>
          </w:p>
        </w:tc>
      </w:tr>
      <w:tr w:rsidR="00067C34" w14:paraId="2A3C4A8C" w14:textId="77777777">
        <w:trPr>
          <w:trHeight w:val="485"/>
        </w:trPr>
        <w:tc>
          <w:tcPr>
            <w:tcW w:w="2404"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1949605A" w14:textId="77777777" w:rsidR="00067C34" w:rsidRDefault="00BA3CD1">
            <w:pPr>
              <w:jc w:val="both"/>
              <w:rPr>
                <w:rFonts w:ascii="Arial" w:eastAsia="Arial" w:hAnsi="Arial" w:cs="Arial"/>
                <w:sz w:val="20"/>
                <w:szCs w:val="20"/>
              </w:rPr>
            </w:pPr>
            <w:r>
              <w:rPr>
                <w:rFonts w:ascii="Arial" w:eastAsia="Arial" w:hAnsi="Arial" w:cs="Arial"/>
                <w:sz w:val="20"/>
                <w:szCs w:val="20"/>
              </w:rPr>
              <w:t>Partidos Políticos</w:t>
            </w:r>
          </w:p>
        </w:tc>
        <w:tc>
          <w:tcPr>
            <w:tcW w:w="2805"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2F021B43" w14:textId="77777777" w:rsidR="00067C34" w:rsidRDefault="00BA3CD1">
            <w:pPr>
              <w:jc w:val="center"/>
              <w:rPr>
                <w:rFonts w:ascii="Arial" w:eastAsia="Arial" w:hAnsi="Arial" w:cs="Arial"/>
                <w:sz w:val="20"/>
                <w:szCs w:val="20"/>
              </w:rPr>
            </w:pPr>
            <w:r>
              <w:rPr>
                <w:rFonts w:ascii="Arial" w:eastAsia="Arial" w:hAnsi="Arial" w:cs="Arial"/>
                <w:sz w:val="20"/>
                <w:szCs w:val="20"/>
              </w:rPr>
              <w:t>5.66</w:t>
            </w:r>
          </w:p>
        </w:tc>
        <w:tc>
          <w:tcPr>
            <w:tcW w:w="2860"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7EDCA683" w14:textId="77777777" w:rsidR="00067C34" w:rsidRDefault="00BA3CD1">
            <w:pPr>
              <w:jc w:val="center"/>
              <w:rPr>
                <w:rFonts w:ascii="Arial" w:eastAsia="Arial" w:hAnsi="Arial" w:cs="Arial"/>
                <w:sz w:val="20"/>
                <w:szCs w:val="20"/>
              </w:rPr>
            </w:pPr>
            <w:r>
              <w:rPr>
                <w:rFonts w:ascii="Arial" w:eastAsia="Arial" w:hAnsi="Arial" w:cs="Arial"/>
                <w:sz w:val="20"/>
                <w:szCs w:val="20"/>
              </w:rPr>
              <w:t>8.03</w:t>
            </w:r>
          </w:p>
        </w:tc>
        <w:tc>
          <w:tcPr>
            <w:tcW w:w="1285" w:type="dxa"/>
            <w:tcBorders>
              <w:top w:val="nil"/>
              <w:left w:val="nil"/>
              <w:bottom w:val="single" w:sz="8" w:space="0" w:color="8EAADB"/>
              <w:right w:val="nil"/>
            </w:tcBorders>
            <w:shd w:val="clear" w:color="auto" w:fill="D9E2F3"/>
            <w:tcMar>
              <w:top w:w="100" w:type="dxa"/>
              <w:left w:w="100" w:type="dxa"/>
              <w:bottom w:w="100" w:type="dxa"/>
              <w:right w:w="100" w:type="dxa"/>
            </w:tcMar>
          </w:tcPr>
          <w:p w14:paraId="71ECF33C" w14:textId="77777777" w:rsidR="00067C34" w:rsidRDefault="00BA3CD1">
            <w:pPr>
              <w:jc w:val="center"/>
              <w:rPr>
                <w:rFonts w:ascii="Arial" w:eastAsia="Arial" w:hAnsi="Arial" w:cs="Arial"/>
                <w:sz w:val="20"/>
                <w:szCs w:val="20"/>
              </w:rPr>
            </w:pPr>
            <w:r>
              <w:rPr>
                <w:rFonts w:ascii="Arial" w:eastAsia="Arial" w:hAnsi="Arial" w:cs="Arial"/>
                <w:sz w:val="20"/>
                <w:szCs w:val="20"/>
              </w:rPr>
              <w:t>7.08</w:t>
            </w:r>
          </w:p>
        </w:tc>
      </w:tr>
      <w:tr w:rsidR="00067C34" w14:paraId="14040474" w14:textId="77777777">
        <w:trPr>
          <w:trHeight w:val="485"/>
        </w:trPr>
        <w:tc>
          <w:tcPr>
            <w:tcW w:w="2404" w:type="dxa"/>
            <w:tcBorders>
              <w:top w:val="nil"/>
              <w:left w:val="nil"/>
              <w:bottom w:val="single" w:sz="8" w:space="0" w:color="8EAADB"/>
              <w:right w:val="single" w:sz="8" w:space="0" w:color="8EAADB"/>
            </w:tcBorders>
            <w:tcMar>
              <w:top w:w="100" w:type="dxa"/>
              <w:left w:w="100" w:type="dxa"/>
              <w:bottom w:w="100" w:type="dxa"/>
              <w:right w:w="100" w:type="dxa"/>
            </w:tcMar>
          </w:tcPr>
          <w:p w14:paraId="6604992D" w14:textId="77777777" w:rsidR="00067C34" w:rsidRDefault="00BA3CD1">
            <w:pPr>
              <w:jc w:val="both"/>
              <w:rPr>
                <w:rFonts w:ascii="Arial" w:eastAsia="Arial" w:hAnsi="Arial" w:cs="Arial"/>
                <w:sz w:val="20"/>
                <w:szCs w:val="20"/>
              </w:rPr>
            </w:pPr>
            <w:r>
              <w:rPr>
                <w:rFonts w:ascii="Arial" w:eastAsia="Arial" w:hAnsi="Arial" w:cs="Arial"/>
                <w:sz w:val="20"/>
                <w:szCs w:val="20"/>
              </w:rPr>
              <w:t>Poder Judicial</w:t>
            </w:r>
          </w:p>
        </w:tc>
        <w:tc>
          <w:tcPr>
            <w:tcW w:w="2805" w:type="dxa"/>
            <w:tcBorders>
              <w:top w:val="nil"/>
              <w:left w:val="nil"/>
              <w:bottom w:val="single" w:sz="8" w:space="0" w:color="8EAADB"/>
              <w:right w:val="single" w:sz="8" w:space="0" w:color="8EAADB"/>
            </w:tcBorders>
            <w:tcMar>
              <w:top w:w="100" w:type="dxa"/>
              <w:left w:w="100" w:type="dxa"/>
              <w:bottom w:w="100" w:type="dxa"/>
              <w:right w:w="100" w:type="dxa"/>
            </w:tcMar>
          </w:tcPr>
          <w:p w14:paraId="597535A7" w14:textId="77777777" w:rsidR="00067C34" w:rsidRDefault="00BA3CD1">
            <w:pPr>
              <w:jc w:val="center"/>
              <w:rPr>
                <w:rFonts w:ascii="Arial" w:eastAsia="Arial" w:hAnsi="Arial" w:cs="Arial"/>
                <w:sz w:val="20"/>
                <w:szCs w:val="20"/>
              </w:rPr>
            </w:pPr>
            <w:r>
              <w:rPr>
                <w:rFonts w:ascii="Arial" w:eastAsia="Arial" w:hAnsi="Arial" w:cs="Arial"/>
                <w:sz w:val="20"/>
                <w:szCs w:val="20"/>
              </w:rPr>
              <w:t>1.21</w:t>
            </w:r>
          </w:p>
        </w:tc>
        <w:tc>
          <w:tcPr>
            <w:tcW w:w="2860" w:type="dxa"/>
            <w:tcBorders>
              <w:top w:val="nil"/>
              <w:left w:val="nil"/>
              <w:bottom w:val="single" w:sz="8" w:space="0" w:color="8EAADB"/>
              <w:right w:val="single" w:sz="8" w:space="0" w:color="8EAADB"/>
            </w:tcBorders>
            <w:tcMar>
              <w:top w:w="100" w:type="dxa"/>
              <w:left w:w="100" w:type="dxa"/>
              <w:bottom w:w="100" w:type="dxa"/>
              <w:right w:w="100" w:type="dxa"/>
            </w:tcMar>
          </w:tcPr>
          <w:p w14:paraId="00982D80" w14:textId="77777777" w:rsidR="00067C34" w:rsidRDefault="00BA3CD1">
            <w:pPr>
              <w:jc w:val="center"/>
              <w:rPr>
                <w:rFonts w:ascii="Arial" w:eastAsia="Arial" w:hAnsi="Arial" w:cs="Arial"/>
                <w:sz w:val="20"/>
                <w:szCs w:val="20"/>
              </w:rPr>
            </w:pPr>
            <w:r>
              <w:rPr>
                <w:rFonts w:ascii="Arial" w:eastAsia="Arial" w:hAnsi="Arial" w:cs="Arial"/>
                <w:sz w:val="20"/>
                <w:szCs w:val="20"/>
              </w:rPr>
              <w:t>-</w:t>
            </w:r>
          </w:p>
        </w:tc>
        <w:tc>
          <w:tcPr>
            <w:tcW w:w="1285" w:type="dxa"/>
            <w:tcBorders>
              <w:top w:val="nil"/>
              <w:left w:val="nil"/>
              <w:bottom w:val="single" w:sz="8" w:space="0" w:color="8EAADB"/>
              <w:right w:val="nil"/>
            </w:tcBorders>
            <w:tcMar>
              <w:top w:w="100" w:type="dxa"/>
              <w:left w:w="100" w:type="dxa"/>
              <w:bottom w:w="100" w:type="dxa"/>
              <w:right w:w="100" w:type="dxa"/>
            </w:tcMar>
          </w:tcPr>
          <w:p w14:paraId="69163534" w14:textId="77777777" w:rsidR="00067C34" w:rsidRDefault="00BA3CD1">
            <w:pPr>
              <w:jc w:val="center"/>
              <w:rPr>
                <w:rFonts w:ascii="Arial" w:eastAsia="Arial" w:hAnsi="Arial" w:cs="Arial"/>
                <w:sz w:val="20"/>
                <w:szCs w:val="20"/>
              </w:rPr>
            </w:pPr>
            <w:r>
              <w:rPr>
                <w:rFonts w:ascii="Arial" w:eastAsia="Arial" w:hAnsi="Arial" w:cs="Arial"/>
                <w:sz w:val="20"/>
                <w:szCs w:val="20"/>
              </w:rPr>
              <w:t>1.21</w:t>
            </w:r>
          </w:p>
        </w:tc>
      </w:tr>
      <w:tr w:rsidR="00067C34" w14:paraId="4BAED639" w14:textId="77777777">
        <w:trPr>
          <w:trHeight w:val="485"/>
        </w:trPr>
        <w:tc>
          <w:tcPr>
            <w:tcW w:w="2404"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792B9F0B" w14:textId="77777777" w:rsidR="00067C34" w:rsidRDefault="00BA3CD1">
            <w:pPr>
              <w:jc w:val="both"/>
              <w:rPr>
                <w:rFonts w:ascii="Arial" w:eastAsia="Arial" w:hAnsi="Arial" w:cs="Arial"/>
                <w:sz w:val="20"/>
                <w:szCs w:val="20"/>
              </w:rPr>
            </w:pPr>
            <w:r>
              <w:rPr>
                <w:rFonts w:ascii="Arial" w:eastAsia="Arial" w:hAnsi="Arial" w:cs="Arial"/>
                <w:sz w:val="20"/>
                <w:szCs w:val="20"/>
              </w:rPr>
              <w:t>Poder Legislativo</w:t>
            </w:r>
          </w:p>
        </w:tc>
        <w:tc>
          <w:tcPr>
            <w:tcW w:w="2805"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19815F16" w14:textId="77777777" w:rsidR="00067C34" w:rsidRDefault="00BA3CD1">
            <w:pPr>
              <w:jc w:val="center"/>
              <w:rPr>
                <w:rFonts w:ascii="Arial" w:eastAsia="Arial" w:hAnsi="Arial" w:cs="Arial"/>
                <w:sz w:val="20"/>
                <w:szCs w:val="20"/>
              </w:rPr>
            </w:pPr>
            <w:r>
              <w:rPr>
                <w:rFonts w:ascii="Arial" w:eastAsia="Arial" w:hAnsi="Arial" w:cs="Arial"/>
                <w:sz w:val="20"/>
                <w:szCs w:val="20"/>
              </w:rPr>
              <w:t>5.39</w:t>
            </w:r>
          </w:p>
        </w:tc>
        <w:tc>
          <w:tcPr>
            <w:tcW w:w="2860"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13298CA9" w14:textId="77777777" w:rsidR="00067C34" w:rsidRDefault="00BA3CD1">
            <w:pPr>
              <w:jc w:val="center"/>
              <w:rPr>
                <w:rFonts w:ascii="Arial" w:eastAsia="Arial" w:hAnsi="Arial" w:cs="Arial"/>
                <w:sz w:val="20"/>
                <w:szCs w:val="20"/>
              </w:rPr>
            </w:pPr>
            <w:r>
              <w:rPr>
                <w:rFonts w:ascii="Arial" w:eastAsia="Arial" w:hAnsi="Arial" w:cs="Arial"/>
                <w:sz w:val="20"/>
                <w:szCs w:val="20"/>
              </w:rPr>
              <w:t>2.51</w:t>
            </w:r>
          </w:p>
        </w:tc>
        <w:tc>
          <w:tcPr>
            <w:tcW w:w="1285" w:type="dxa"/>
            <w:tcBorders>
              <w:top w:val="nil"/>
              <w:left w:val="nil"/>
              <w:bottom w:val="single" w:sz="8" w:space="0" w:color="8EAADB"/>
              <w:right w:val="nil"/>
            </w:tcBorders>
            <w:shd w:val="clear" w:color="auto" w:fill="D9E2F3"/>
            <w:tcMar>
              <w:top w:w="100" w:type="dxa"/>
              <w:left w:w="100" w:type="dxa"/>
              <w:bottom w:w="100" w:type="dxa"/>
              <w:right w:w="100" w:type="dxa"/>
            </w:tcMar>
          </w:tcPr>
          <w:p w14:paraId="3C05F5AE" w14:textId="77777777" w:rsidR="00067C34" w:rsidRDefault="00BA3CD1">
            <w:pPr>
              <w:jc w:val="center"/>
              <w:rPr>
                <w:rFonts w:ascii="Arial" w:eastAsia="Arial" w:hAnsi="Arial" w:cs="Arial"/>
                <w:sz w:val="20"/>
                <w:szCs w:val="20"/>
              </w:rPr>
            </w:pPr>
            <w:r>
              <w:rPr>
                <w:rFonts w:ascii="Arial" w:eastAsia="Arial" w:hAnsi="Arial" w:cs="Arial"/>
                <w:sz w:val="20"/>
                <w:szCs w:val="20"/>
              </w:rPr>
              <w:t>3.95</w:t>
            </w:r>
          </w:p>
        </w:tc>
      </w:tr>
      <w:tr w:rsidR="00067C34" w14:paraId="0FEEC6CB" w14:textId="77777777">
        <w:trPr>
          <w:trHeight w:val="485"/>
        </w:trPr>
        <w:tc>
          <w:tcPr>
            <w:tcW w:w="2404" w:type="dxa"/>
            <w:tcBorders>
              <w:top w:val="nil"/>
              <w:left w:val="nil"/>
              <w:bottom w:val="single" w:sz="8" w:space="0" w:color="8EAADB"/>
              <w:right w:val="single" w:sz="8" w:space="0" w:color="8EAADB"/>
            </w:tcBorders>
            <w:tcMar>
              <w:top w:w="100" w:type="dxa"/>
              <w:left w:w="100" w:type="dxa"/>
              <w:bottom w:w="100" w:type="dxa"/>
              <w:right w:w="100" w:type="dxa"/>
            </w:tcMar>
          </w:tcPr>
          <w:p w14:paraId="0D5D2386" w14:textId="77777777" w:rsidR="00067C34" w:rsidRDefault="00BA3CD1">
            <w:pPr>
              <w:jc w:val="both"/>
              <w:rPr>
                <w:rFonts w:ascii="Arial" w:eastAsia="Arial" w:hAnsi="Arial" w:cs="Arial"/>
                <w:sz w:val="20"/>
                <w:szCs w:val="20"/>
              </w:rPr>
            </w:pPr>
            <w:r>
              <w:rPr>
                <w:rFonts w:ascii="Arial" w:eastAsia="Arial" w:hAnsi="Arial" w:cs="Arial"/>
                <w:sz w:val="20"/>
                <w:szCs w:val="20"/>
              </w:rPr>
              <w:t>Sindicatos</w:t>
            </w:r>
          </w:p>
        </w:tc>
        <w:tc>
          <w:tcPr>
            <w:tcW w:w="2805" w:type="dxa"/>
            <w:tcBorders>
              <w:top w:val="nil"/>
              <w:left w:val="nil"/>
              <w:bottom w:val="single" w:sz="8" w:space="0" w:color="8EAADB"/>
              <w:right w:val="single" w:sz="8" w:space="0" w:color="8EAADB"/>
            </w:tcBorders>
            <w:tcMar>
              <w:top w:w="100" w:type="dxa"/>
              <w:left w:w="100" w:type="dxa"/>
              <w:bottom w:w="100" w:type="dxa"/>
              <w:right w:w="100" w:type="dxa"/>
            </w:tcMar>
          </w:tcPr>
          <w:p w14:paraId="492884DA" w14:textId="77777777" w:rsidR="00067C34" w:rsidRDefault="00BA3CD1">
            <w:pPr>
              <w:jc w:val="center"/>
              <w:rPr>
                <w:rFonts w:ascii="Arial" w:eastAsia="Arial" w:hAnsi="Arial" w:cs="Arial"/>
                <w:sz w:val="20"/>
                <w:szCs w:val="20"/>
              </w:rPr>
            </w:pPr>
            <w:r>
              <w:rPr>
                <w:rFonts w:ascii="Arial" w:eastAsia="Arial" w:hAnsi="Arial" w:cs="Arial"/>
                <w:sz w:val="20"/>
                <w:szCs w:val="20"/>
              </w:rPr>
              <w:t>-</w:t>
            </w:r>
          </w:p>
        </w:tc>
        <w:tc>
          <w:tcPr>
            <w:tcW w:w="2860" w:type="dxa"/>
            <w:tcBorders>
              <w:top w:val="nil"/>
              <w:left w:val="nil"/>
              <w:bottom w:val="single" w:sz="8" w:space="0" w:color="8EAADB"/>
              <w:right w:val="single" w:sz="8" w:space="0" w:color="8EAADB"/>
            </w:tcBorders>
            <w:tcMar>
              <w:top w:w="100" w:type="dxa"/>
              <w:left w:w="100" w:type="dxa"/>
              <w:bottom w:w="100" w:type="dxa"/>
              <w:right w:w="100" w:type="dxa"/>
            </w:tcMar>
          </w:tcPr>
          <w:p w14:paraId="327D6960" w14:textId="77777777" w:rsidR="00067C34" w:rsidRDefault="00BA3CD1">
            <w:pPr>
              <w:jc w:val="center"/>
              <w:rPr>
                <w:rFonts w:ascii="Arial" w:eastAsia="Arial" w:hAnsi="Arial" w:cs="Arial"/>
                <w:sz w:val="20"/>
                <w:szCs w:val="20"/>
              </w:rPr>
            </w:pPr>
            <w:r>
              <w:rPr>
                <w:rFonts w:ascii="Arial" w:eastAsia="Arial" w:hAnsi="Arial" w:cs="Arial"/>
                <w:sz w:val="20"/>
                <w:szCs w:val="20"/>
              </w:rPr>
              <w:t>4.23</w:t>
            </w:r>
          </w:p>
        </w:tc>
        <w:tc>
          <w:tcPr>
            <w:tcW w:w="1285" w:type="dxa"/>
            <w:tcBorders>
              <w:top w:val="nil"/>
              <w:left w:val="nil"/>
              <w:bottom w:val="single" w:sz="8" w:space="0" w:color="8EAADB"/>
              <w:right w:val="nil"/>
            </w:tcBorders>
            <w:tcMar>
              <w:top w:w="100" w:type="dxa"/>
              <w:left w:w="100" w:type="dxa"/>
              <w:bottom w:w="100" w:type="dxa"/>
              <w:right w:w="100" w:type="dxa"/>
            </w:tcMar>
          </w:tcPr>
          <w:p w14:paraId="10405AF9" w14:textId="77777777" w:rsidR="00067C34" w:rsidRDefault="00BA3CD1">
            <w:pPr>
              <w:jc w:val="center"/>
              <w:rPr>
                <w:rFonts w:ascii="Arial" w:eastAsia="Arial" w:hAnsi="Arial" w:cs="Arial"/>
                <w:sz w:val="20"/>
                <w:szCs w:val="20"/>
              </w:rPr>
            </w:pPr>
            <w:r>
              <w:rPr>
                <w:rFonts w:ascii="Arial" w:eastAsia="Arial" w:hAnsi="Arial" w:cs="Arial"/>
                <w:sz w:val="20"/>
                <w:szCs w:val="20"/>
              </w:rPr>
              <w:t>4.23</w:t>
            </w:r>
          </w:p>
        </w:tc>
      </w:tr>
      <w:tr w:rsidR="00067C34" w14:paraId="6448B537" w14:textId="77777777">
        <w:trPr>
          <w:trHeight w:val="485"/>
        </w:trPr>
        <w:tc>
          <w:tcPr>
            <w:tcW w:w="2404"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564D2666" w14:textId="77777777" w:rsidR="00067C34" w:rsidRDefault="00BA3CD1">
            <w:pPr>
              <w:jc w:val="both"/>
              <w:rPr>
                <w:rFonts w:ascii="Arial" w:eastAsia="Arial" w:hAnsi="Arial" w:cs="Arial"/>
                <w:b/>
                <w:sz w:val="20"/>
                <w:szCs w:val="20"/>
              </w:rPr>
            </w:pPr>
            <w:r>
              <w:rPr>
                <w:rFonts w:ascii="Arial" w:eastAsia="Arial" w:hAnsi="Arial" w:cs="Arial"/>
                <w:b/>
                <w:sz w:val="20"/>
                <w:szCs w:val="20"/>
              </w:rPr>
              <w:t>Promedio general</w:t>
            </w:r>
          </w:p>
        </w:tc>
        <w:tc>
          <w:tcPr>
            <w:tcW w:w="2805"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68C6E9EC" w14:textId="77777777" w:rsidR="00067C34" w:rsidRDefault="00BA3CD1">
            <w:pPr>
              <w:jc w:val="center"/>
              <w:rPr>
                <w:rFonts w:ascii="Arial" w:eastAsia="Arial" w:hAnsi="Arial" w:cs="Arial"/>
                <w:b/>
                <w:sz w:val="20"/>
                <w:szCs w:val="20"/>
              </w:rPr>
            </w:pPr>
            <w:r>
              <w:rPr>
                <w:rFonts w:ascii="Arial" w:eastAsia="Arial" w:hAnsi="Arial" w:cs="Arial"/>
                <w:b/>
                <w:sz w:val="20"/>
                <w:szCs w:val="20"/>
              </w:rPr>
              <w:t>12.28</w:t>
            </w:r>
          </w:p>
        </w:tc>
        <w:tc>
          <w:tcPr>
            <w:tcW w:w="2860" w:type="dxa"/>
            <w:tcBorders>
              <w:top w:val="nil"/>
              <w:left w:val="nil"/>
              <w:bottom w:val="single" w:sz="8" w:space="0" w:color="8EAADB"/>
              <w:right w:val="single" w:sz="8" w:space="0" w:color="8EAADB"/>
            </w:tcBorders>
            <w:shd w:val="clear" w:color="auto" w:fill="D9E2F3"/>
            <w:tcMar>
              <w:top w:w="100" w:type="dxa"/>
              <w:left w:w="100" w:type="dxa"/>
              <w:bottom w:w="100" w:type="dxa"/>
              <w:right w:w="100" w:type="dxa"/>
            </w:tcMar>
          </w:tcPr>
          <w:p w14:paraId="3208FEE4" w14:textId="77777777" w:rsidR="00067C34" w:rsidRDefault="00BA3CD1">
            <w:pPr>
              <w:jc w:val="center"/>
              <w:rPr>
                <w:rFonts w:ascii="Arial" w:eastAsia="Arial" w:hAnsi="Arial" w:cs="Arial"/>
                <w:b/>
                <w:sz w:val="20"/>
                <w:szCs w:val="20"/>
              </w:rPr>
            </w:pPr>
            <w:r>
              <w:rPr>
                <w:rFonts w:ascii="Arial" w:eastAsia="Arial" w:hAnsi="Arial" w:cs="Arial"/>
                <w:b/>
                <w:sz w:val="20"/>
                <w:szCs w:val="20"/>
              </w:rPr>
              <w:t>7.59</w:t>
            </w:r>
          </w:p>
        </w:tc>
        <w:tc>
          <w:tcPr>
            <w:tcW w:w="1285" w:type="dxa"/>
            <w:tcBorders>
              <w:top w:val="nil"/>
              <w:left w:val="nil"/>
              <w:bottom w:val="single" w:sz="8" w:space="0" w:color="8EAADB"/>
              <w:right w:val="nil"/>
            </w:tcBorders>
            <w:shd w:val="clear" w:color="auto" w:fill="D9E2F3"/>
            <w:tcMar>
              <w:top w:w="100" w:type="dxa"/>
              <w:left w:w="100" w:type="dxa"/>
              <w:bottom w:w="100" w:type="dxa"/>
              <w:right w:w="100" w:type="dxa"/>
            </w:tcMar>
          </w:tcPr>
          <w:p w14:paraId="1E2749D8" w14:textId="77777777" w:rsidR="00067C34" w:rsidRDefault="00BA3CD1">
            <w:pPr>
              <w:jc w:val="center"/>
              <w:rPr>
                <w:rFonts w:ascii="Arial" w:eastAsia="Arial" w:hAnsi="Arial" w:cs="Arial"/>
                <w:b/>
                <w:sz w:val="20"/>
                <w:szCs w:val="20"/>
              </w:rPr>
            </w:pPr>
            <w:r>
              <w:rPr>
                <w:rFonts w:ascii="Arial" w:eastAsia="Arial" w:hAnsi="Arial" w:cs="Arial"/>
                <w:b/>
                <w:sz w:val="20"/>
                <w:szCs w:val="20"/>
              </w:rPr>
              <w:t>8.89</w:t>
            </w:r>
          </w:p>
        </w:tc>
      </w:tr>
    </w:tbl>
    <w:p w14:paraId="545CDF56" w14:textId="77777777" w:rsidR="00067C34" w:rsidRDefault="00067C34">
      <w:pPr>
        <w:spacing w:before="240" w:after="240" w:line="360" w:lineRule="auto"/>
        <w:jc w:val="both"/>
        <w:rPr>
          <w:rFonts w:ascii="Arial" w:eastAsia="Arial" w:hAnsi="Arial" w:cs="Arial"/>
        </w:rPr>
      </w:pPr>
    </w:p>
    <w:p w14:paraId="09F0D6B7" w14:textId="77777777" w:rsidR="00067C34" w:rsidRDefault="00BA3CD1">
      <w:pPr>
        <w:spacing w:before="240" w:after="240" w:line="360" w:lineRule="auto"/>
        <w:jc w:val="both"/>
        <w:rPr>
          <w:rFonts w:ascii="Arial" w:eastAsia="Arial" w:hAnsi="Arial" w:cs="Arial"/>
        </w:rPr>
      </w:pPr>
      <w:r>
        <w:rPr>
          <w:rFonts w:ascii="Arial" w:eastAsia="Arial" w:hAnsi="Arial" w:cs="Arial"/>
        </w:rPr>
        <w:t>De esta forma, 20 de los 33 sujetos obligados asesorados que equivale al 61%, dieron cumplimiento a todas las obligaciones de transparencia relativas a la publicación de información en sus portales institucionales y en la Plataforma Nacional de Transparenc</w:t>
      </w:r>
      <w:r>
        <w:rPr>
          <w:rFonts w:ascii="Arial" w:eastAsia="Arial" w:hAnsi="Arial" w:cs="Arial"/>
        </w:rPr>
        <w:t>ia.</w:t>
      </w:r>
    </w:p>
    <w:tbl>
      <w:tblPr>
        <w:tblStyle w:val="aff3"/>
        <w:tblW w:w="9356"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497"/>
        <w:gridCol w:w="3257"/>
        <w:gridCol w:w="2995"/>
        <w:gridCol w:w="772"/>
        <w:gridCol w:w="814"/>
        <w:gridCol w:w="1021"/>
      </w:tblGrid>
      <w:tr w:rsidR="00067C34" w14:paraId="70982025" w14:textId="77777777">
        <w:trPr>
          <w:trHeight w:val="785"/>
        </w:trPr>
        <w:tc>
          <w:tcPr>
            <w:tcW w:w="496" w:type="dxa"/>
            <w:tcBorders>
              <w:top w:val="single" w:sz="8" w:space="0" w:color="000000"/>
              <w:left w:val="single" w:sz="8" w:space="0" w:color="000000"/>
              <w:bottom w:val="single" w:sz="8" w:space="0" w:color="000000"/>
              <w:right w:val="single" w:sz="8" w:space="0" w:color="000000"/>
            </w:tcBorders>
            <w:shd w:val="clear" w:color="auto" w:fill="F4B084"/>
            <w:tcMar>
              <w:top w:w="100" w:type="dxa"/>
              <w:left w:w="80" w:type="dxa"/>
              <w:bottom w:w="100" w:type="dxa"/>
              <w:right w:w="80" w:type="dxa"/>
            </w:tcMar>
          </w:tcPr>
          <w:p w14:paraId="7769D03E" w14:textId="77777777" w:rsidR="00067C34" w:rsidRDefault="00BA3CD1">
            <w:pPr>
              <w:jc w:val="center"/>
              <w:rPr>
                <w:rFonts w:ascii="Arial" w:eastAsia="Arial" w:hAnsi="Arial" w:cs="Arial"/>
                <w:b/>
                <w:sz w:val="20"/>
                <w:szCs w:val="20"/>
              </w:rPr>
            </w:pPr>
            <w:r>
              <w:rPr>
                <w:rFonts w:ascii="Arial" w:eastAsia="Arial" w:hAnsi="Arial" w:cs="Arial"/>
                <w:b/>
                <w:sz w:val="20"/>
                <w:szCs w:val="20"/>
              </w:rPr>
              <w:t>No.</w:t>
            </w:r>
          </w:p>
        </w:tc>
        <w:tc>
          <w:tcPr>
            <w:tcW w:w="3256" w:type="dxa"/>
            <w:tcBorders>
              <w:top w:val="single" w:sz="8" w:space="0" w:color="000000"/>
              <w:left w:val="nil"/>
              <w:bottom w:val="single" w:sz="8" w:space="0" w:color="000000"/>
              <w:right w:val="single" w:sz="8" w:space="0" w:color="000000"/>
            </w:tcBorders>
            <w:shd w:val="clear" w:color="auto" w:fill="F4B084"/>
            <w:tcMar>
              <w:top w:w="100" w:type="dxa"/>
              <w:left w:w="80" w:type="dxa"/>
              <w:bottom w:w="100" w:type="dxa"/>
              <w:right w:w="80" w:type="dxa"/>
            </w:tcMar>
          </w:tcPr>
          <w:p w14:paraId="3166C958" w14:textId="77777777" w:rsidR="00067C34" w:rsidRDefault="00BA3CD1">
            <w:pPr>
              <w:jc w:val="center"/>
              <w:rPr>
                <w:rFonts w:ascii="Arial" w:eastAsia="Arial" w:hAnsi="Arial" w:cs="Arial"/>
                <w:b/>
                <w:sz w:val="20"/>
                <w:szCs w:val="20"/>
              </w:rPr>
            </w:pPr>
            <w:r>
              <w:rPr>
                <w:rFonts w:ascii="Arial" w:eastAsia="Arial" w:hAnsi="Arial" w:cs="Arial"/>
                <w:b/>
                <w:sz w:val="20"/>
                <w:szCs w:val="20"/>
              </w:rPr>
              <w:t>Sujeto Obligado</w:t>
            </w:r>
          </w:p>
        </w:tc>
        <w:tc>
          <w:tcPr>
            <w:tcW w:w="2994" w:type="dxa"/>
            <w:tcBorders>
              <w:top w:val="single" w:sz="8" w:space="0" w:color="000000"/>
              <w:left w:val="nil"/>
              <w:bottom w:val="single" w:sz="8" w:space="0" w:color="000000"/>
              <w:right w:val="single" w:sz="8" w:space="0" w:color="000000"/>
            </w:tcBorders>
            <w:shd w:val="clear" w:color="auto" w:fill="F4B084"/>
            <w:tcMar>
              <w:top w:w="100" w:type="dxa"/>
              <w:left w:w="80" w:type="dxa"/>
              <w:bottom w:w="100" w:type="dxa"/>
              <w:right w:w="80" w:type="dxa"/>
            </w:tcMar>
          </w:tcPr>
          <w:p w14:paraId="4F470152" w14:textId="77777777" w:rsidR="00067C34" w:rsidRDefault="00BA3CD1">
            <w:pPr>
              <w:jc w:val="center"/>
              <w:rPr>
                <w:rFonts w:ascii="Arial" w:eastAsia="Arial" w:hAnsi="Arial" w:cs="Arial"/>
                <w:b/>
                <w:sz w:val="20"/>
                <w:szCs w:val="20"/>
              </w:rPr>
            </w:pPr>
            <w:r>
              <w:rPr>
                <w:rFonts w:ascii="Arial" w:eastAsia="Arial" w:hAnsi="Arial" w:cs="Arial"/>
                <w:b/>
                <w:sz w:val="20"/>
                <w:szCs w:val="20"/>
              </w:rPr>
              <w:t>Ámbito</w:t>
            </w:r>
          </w:p>
        </w:tc>
        <w:tc>
          <w:tcPr>
            <w:tcW w:w="772" w:type="dxa"/>
            <w:tcBorders>
              <w:top w:val="single" w:sz="8" w:space="0" w:color="000000"/>
              <w:left w:val="nil"/>
              <w:bottom w:val="single" w:sz="8" w:space="0" w:color="000000"/>
              <w:right w:val="single" w:sz="8" w:space="0" w:color="000000"/>
            </w:tcBorders>
            <w:shd w:val="clear" w:color="auto" w:fill="F4B084"/>
            <w:tcMar>
              <w:top w:w="100" w:type="dxa"/>
              <w:left w:w="80" w:type="dxa"/>
              <w:bottom w:w="100" w:type="dxa"/>
              <w:right w:w="80" w:type="dxa"/>
            </w:tcMar>
          </w:tcPr>
          <w:p w14:paraId="720A8426" w14:textId="77777777" w:rsidR="00067C34" w:rsidRDefault="00BA3CD1">
            <w:pPr>
              <w:jc w:val="center"/>
              <w:rPr>
                <w:rFonts w:ascii="Arial" w:eastAsia="Arial" w:hAnsi="Arial" w:cs="Arial"/>
                <w:b/>
                <w:sz w:val="20"/>
                <w:szCs w:val="20"/>
              </w:rPr>
            </w:pPr>
            <w:r>
              <w:rPr>
                <w:rFonts w:ascii="Arial" w:eastAsia="Arial" w:hAnsi="Arial" w:cs="Arial"/>
                <w:b/>
                <w:sz w:val="20"/>
                <w:szCs w:val="20"/>
              </w:rPr>
              <w:t>IGOT 2da</w:t>
            </w:r>
          </w:p>
        </w:tc>
        <w:tc>
          <w:tcPr>
            <w:tcW w:w="814" w:type="dxa"/>
            <w:tcBorders>
              <w:top w:val="single" w:sz="8" w:space="0" w:color="000000"/>
              <w:left w:val="nil"/>
              <w:bottom w:val="single" w:sz="8" w:space="0" w:color="000000"/>
              <w:right w:val="single" w:sz="8" w:space="0" w:color="000000"/>
            </w:tcBorders>
            <w:shd w:val="clear" w:color="auto" w:fill="F4B084"/>
            <w:tcMar>
              <w:top w:w="100" w:type="dxa"/>
              <w:left w:w="80" w:type="dxa"/>
              <w:bottom w:w="100" w:type="dxa"/>
              <w:right w:w="80" w:type="dxa"/>
            </w:tcMar>
          </w:tcPr>
          <w:p w14:paraId="187C8C16" w14:textId="77777777" w:rsidR="00067C34" w:rsidRDefault="00BA3CD1">
            <w:pPr>
              <w:jc w:val="center"/>
              <w:rPr>
                <w:rFonts w:ascii="Arial" w:eastAsia="Arial" w:hAnsi="Arial" w:cs="Arial"/>
                <w:b/>
                <w:sz w:val="20"/>
                <w:szCs w:val="20"/>
              </w:rPr>
            </w:pPr>
            <w:r>
              <w:rPr>
                <w:rFonts w:ascii="Arial" w:eastAsia="Arial" w:hAnsi="Arial" w:cs="Arial"/>
                <w:b/>
                <w:sz w:val="20"/>
                <w:szCs w:val="20"/>
              </w:rPr>
              <w:t>IGOT 3ra</w:t>
            </w:r>
          </w:p>
        </w:tc>
        <w:tc>
          <w:tcPr>
            <w:tcW w:w="1021" w:type="dxa"/>
            <w:tcBorders>
              <w:top w:val="single" w:sz="8" w:space="0" w:color="000000"/>
              <w:left w:val="nil"/>
              <w:bottom w:val="single" w:sz="8" w:space="0" w:color="000000"/>
              <w:right w:val="single" w:sz="8" w:space="0" w:color="000000"/>
            </w:tcBorders>
            <w:shd w:val="clear" w:color="auto" w:fill="F4B084"/>
            <w:tcMar>
              <w:top w:w="100" w:type="dxa"/>
              <w:left w:w="80" w:type="dxa"/>
              <w:bottom w:w="100" w:type="dxa"/>
              <w:right w:w="80" w:type="dxa"/>
            </w:tcMar>
          </w:tcPr>
          <w:p w14:paraId="7D16D937" w14:textId="77777777" w:rsidR="00067C34" w:rsidRDefault="00BA3CD1">
            <w:pPr>
              <w:jc w:val="center"/>
              <w:rPr>
                <w:rFonts w:ascii="Arial" w:eastAsia="Arial" w:hAnsi="Arial" w:cs="Arial"/>
                <w:b/>
                <w:sz w:val="20"/>
                <w:szCs w:val="20"/>
              </w:rPr>
            </w:pPr>
            <w:r>
              <w:rPr>
                <w:rFonts w:ascii="Arial" w:eastAsia="Arial" w:hAnsi="Arial" w:cs="Arial"/>
                <w:b/>
                <w:sz w:val="20"/>
                <w:szCs w:val="20"/>
              </w:rPr>
              <w:t>IGOT diferencia</w:t>
            </w:r>
          </w:p>
        </w:tc>
      </w:tr>
      <w:tr w:rsidR="00067C34" w14:paraId="24D35FDE"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7160D60" w14:textId="77777777" w:rsidR="00067C34" w:rsidRDefault="00BA3CD1">
            <w:pPr>
              <w:jc w:val="right"/>
              <w:rPr>
                <w:rFonts w:ascii="Arial" w:eastAsia="Arial" w:hAnsi="Arial" w:cs="Arial"/>
                <w:sz w:val="20"/>
                <w:szCs w:val="20"/>
              </w:rPr>
            </w:pPr>
            <w:r>
              <w:rPr>
                <w:rFonts w:ascii="Arial" w:eastAsia="Arial" w:hAnsi="Arial" w:cs="Arial"/>
                <w:sz w:val="20"/>
                <w:szCs w:val="20"/>
              </w:rPr>
              <w:t>1</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40BDEF0" w14:textId="77777777" w:rsidR="00067C34" w:rsidRDefault="00BA3CD1">
            <w:pPr>
              <w:jc w:val="both"/>
              <w:rPr>
                <w:rFonts w:ascii="Arial" w:eastAsia="Arial" w:hAnsi="Arial" w:cs="Arial"/>
                <w:sz w:val="20"/>
                <w:szCs w:val="20"/>
              </w:rPr>
            </w:pPr>
            <w:r>
              <w:rPr>
                <w:rFonts w:ascii="Arial" w:eastAsia="Arial" w:hAnsi="Arial" w:cs="Arial"/>
                <w:sz w:val="20"/>
                <w:szCs w:val="20"/>
              </w:rPr>
              <w:t>Agencia de Atención Animal.</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6746678"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A8BD5CD" w14:textId="77777777" w:rsidR="00067C34" w:rsidRDefault="00BA3CD1">
            <w:pPr>
              <w:jc w:val="right"/>
              <w:rPr>
                <w:rFonts w:ascii="Arial" w:eastAsia="Arial" w:hAnsi="Arial" w:cs="Arial"/>
                <w:sz w:val="20"/>
                <w:szCs w:val="20"/>
              </w:rPr>
            </w:pPr>
            <w:r>
              <w:rPr>
                <w:rFonts w:ascii="Arial" w:eastAsia="Arial" w:hAnsi="Arial" w:cs="Arial"/>
                <w:sz w:val="20"/>
                <w:szCs w:val="20"/>
              </w:rPr>
              <w:t>88.97</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195C289"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954C9ED" w14:textId="77777777" w:rsidR="00067C34" w:rsidRDefault="00BA3CD1">
            <w:pPr>
              <w:jc w:val="right"/>
              <w:rPr>
                <w:rFonts w:ascii="Arial" w:eastAsia="Arial" w:hAnsi="Arial" w:cs="Arial"/>
                <w:sz w:val="20"/>
                <w:szCs w:val="20"/>
              </w:rPr>
            </w:pPr>
            <w:r>
              <w:rPr>
                <w:rFonts w:ascii="Arial" w:eastAsia="Arial" w:hAnsi="Arial" w:cs="Arial"/>
                <w:sz w:val="20"/>
                <w:szCs w:val="20"/>
              </w:rPr>
              <w:t>11.03</w:t>
            </w:r>
          </w:p>
        </w:tc>
      </w:tr>
      <w:tr w:rsidR="00067C34" w14:paraId="59D97D07"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5C118829" w14:textId="77777777" w:rsidR="00067C34" w:rsidRDefault="00BA3CD1">
            <w:pPr>
              <w:jc w:val="right"/>
              <w:rPr>
                <w:rFonts w:ascii="Arial" w:eastAsia="Arial" w:hAnsi="Arial" w:cs="Arial"/>
                <w:sz w:val="20"/>
                <w:szCs w:val="20"/>
              </w:rPr>
            </w:pPr>
            <w:r>
              <w:rPr>
                <w:rFonts w:ascii="Arial" w:eastAsia="Arial" w:hAnsi="Arial" w:cs="Arial"/>
                <w:sz w:val="20"/>
                <w:szCs w:val="20"/>
              </w:rPr>
              <w:t>2</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7A175CC" w14:textId="77777777" w:rsidR="00067C34" w:rsidRDefault="00BA3CD1">
            <w:pPr>
              <w:jc w:val="both"/>
              <w:rPr>
                <w:rFonts w:ascii="Arial" w:eastAsia="Arial" w:hAnsi="Arial" w:cs="Arial"/>
                <w:sz w:val="20"/>
                <w:szCs w:val="20"/>
              </w:rPr>
            </w:pPr>
            <w:r>
              <w:rPr>
                <w:rFonts w:ascii="Arial" w:eastAsia="Arial" w:hAnsi="Arial" w:cs="Arial"/>
                <w:sz w:val="20"/>
                <w:szCs w:val="20"/>
              </w:rPr>
              <w:t>Agencia Digital de Innovación Pública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830D1F9"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3F42683" w14:textId="77777777" w:rsidR="00067C34" w:rsidRDefault="00BA3CD1">
            <w:pPr>
              <w:jc w:val="right"/>
              <w:rPr>
                <w:rFonts w:ascii="Arial" w:eastAsia="Arial" w:hAnsi="Arial" w:cs="Arial"/>
                <w:sz w:val="20"/>
                <w:szCs w:val="20"/>
              </w:rPr>
            </w:pPr>
            <w:r>
              <w:rPr>
                <w:rFonts w:ascii="Arial" w:eastAsia="Arial" w:hAnsi="Arial" w:cs="Arial"/>
                <w:sz w:val="20"/>
                <w:szCs w:val="20"/>
              </w:rPr>
              <w:t>87.35</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876162D"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53DAB17" w14:textId="77777777" w:rsidR="00067C34" w:rsidRDefault="00BA3CD1">
            <w:pPr>
              <w:jc w:val="right"/>
              <w:rPr>
                <w:rFonts w:ascii="Arial" w:eastAsia="Arial" w:hAnsi="Arial" w:cs="Arial"/>
                <w:sz w:val="20"/>
                <w:szCs w:val="20"/>
              </w:rPr>
            </w:pPr>
            <w:r>
              <w:rPr>
                <w:rFonts w:ascii="Arial" w:eastAsia="Arial" w:hAnsi="Arial" w:cs="Arial"/>
                <w:sz w:val="20"/>
                <w:szCs w:val="20"/>
              </w:rPr>
              <w:t>12.65</w:t>
            </w:r>
          </w:p>
        </w:tc>
      </w:tr>
      <w:tr w:rsidR="00067C34" w14:paraId="2F81EA5D"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79E5023" w14:textId="77777777" w:rsidR="00067C34" w:rsidRDefault="00BA3CD1">
            <w:pPr>
              <w:jc w:val="right"/>
              <w:rPr>
                <w:rFonts w:ascii="Arial" w:eastAsia="Arial" w:hAnsi="Arial" w:cs="Arial"/>
                <w:sz w:val="20"/>
                <w:szCs w:val="20"/>
              </w:rPr>
            </w:pPr>
            <w:r>
              <w:rPr>
                <w:rFonts w:ascii="Arial" w:eastAsia="Arial" w:hAnsi="Arial" w:cs="Arial"/>
                <w:sz w:val="20"/>
                <w:szCs w:val="20"/>
              </w:rPr>
              <w:t>3</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F74F2FB" w14:textId="77777777" w:rsidR="00067C34" w:rsidRDefault="00BA3CD1">
            <w:pPr>
              <w:jc w:val="both"/>
              <w:rPr>
                <w:rFonts w:ascii="Arial" w:eastAsia="Arial" w:hAnsi="Arial" w:cs="Arial"/>
                <w:sz w:val="20"/>
                <w:szCs w:val="20"/>
              </w:rPr>
            </w:pPr>
            <w:r>
              <w:rPr>
                <w:rFonts w:ascii="Arial" w:eastAsia="Arial" w:hAnsi="Arial" w:cs="Arial"/>
                <w:sz w:val="20"/>
                <w:szCs w:val="20"/>
              </w:rPr>
              <w:t>Alcaldía Benito Juárez.</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49A5DBA" w14:textId="77777777" w:rsidR="00067C34" w:rsidRDefault="00BA3CD1">
            <w:pPr>
              <w:jc w:val="both"/>
              <w:rPr>
                <w:rFonts w:ascii="Arial" w:eastAsia="Arial" w:hAnsi="Arial" w:cs="Arial"/>
                <w:sz w:val="20"/>
                <w:szCs w:val="20"/>
              </w:rPr>
            </w:pPr>
            <w:r>
              <w:rPr>
                <w:rFonts w:ascii="Arial" w:eastAsia="Arial" w:hAnsi="Arial" w:cs="Arial"/>
                <w:sz w:val="20"/>
                <w:szCs w:val="20"/>
              </w:rPr>
              <w:t>Alcaldías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10A7A8B" w14:textId="77777777" w:rsidR="00067C34" w:rsidRDefault="00BA3CD1">
            <w:pPr>
              <w:jc w:val="right"/>
              <w:rPr>
                <w:rFonts w:ascii="Arial" w:eastAsia="Arial" w:hAnsi="Arial" w:cs="Arial"/>
                <w:sz w:val="20"/>
                <w:szCs w:val="20"/>
              </w:rPr>
            </w:pPr>
            <w:r>
              <w:rPr>
                <w:rFonts w:ascii="Arial" w:eastAsia="Arial" w:hAnsi="Arial" w:cs="Arial"/>
                <w:sz w:val="20"/>
                <w:szCs w:val="20"/>
              </w:rPr>
              <w:t>84.02</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A0BF566"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7D207CB" w14:textId="77777777" w:rsidR="00067C34" w:rsidRDefault="00BA3CD1">
            <w:pPr>
              <w:jc w:val="right"/>
              <w:rPr>
                <w:rFonts w:ascii="Arial" w:eastAsia="Arial" w:hAnsi="Arial" w:cs="Arial"/>
                <w:sz w:val="20"/>
                <w:szCs w:val="20"/>
              </w:rPr>
            </w:pPr>
            <w:r>
              <w:rPr>
                <w:rFonts w:ascii="Arial" w:eastAsia="Arial" w:hAnsi="Arial" w:cs="Arial"/>
                <w:sz w:val="20"/>
                <w:szCs w:val="20"/>
              </w:rPr>
              <w:t>15.98</w:t>
            </w:r>
          </w:p>
        </w:tc>
      </w:tr>
      <w:tr w:rsidR="00067C34" w14:paraId="7D0AB0FF"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608AFAE" w14:textId="77777777" w:rsidR="00067C34" w:rsidRDefault="00BA3CD1">
            <w:pPr>
              <w:jc w:val="right"/>
              <w:rPr>
                <w:rFonts w:ascii="Arial" w:eastAsia="Arial" w:hAnsi="Arial" w:cs="Arial"/>
                <w:sz w:val="20"/>
                <w:szCs w:val="20"/>
              </w:rPr>
            </w:pPr>
            <w:r>
              <w:rPr>
                <w:rFonts w:ascii="Arial" w:eastAsia="Arial" w:hAnsi="Arial" w:cs="Arial"/>
                <w:sz w:val="20"/>
                <w:szCs w:val="20"/>
              </w:rPr>
              <w:t>4</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6485B09" w14:textId="77777777" w:rsidR="00067C34" w:rsidRDefault="00BA3CD1">
            <w:pPr>
              <w:jc w:val="both"/>
              <w:rPr>
                <w:rFonts w:ascii="Arial" w:eastAsia="Arial" w:hAnsi="Arial" w:cs="Arial"/>
                <w:sz w:val="20"/>
                <w:szCs w:val="20"/>
              </w:rPr>
            </w:pPr>
            <w:r>
              <w:rPr>
                <w:rFonts w:ascii="Arial" w:eastAsia="Arial" w:hAnsi="Arial" w:cs="Arial"/>
                <w:sz w:val="20"/>
                <w:szCs w:val="20"/>
              </w:rPr>
              <w:t>Alcaldía Miguel Hidalgo.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0D94449" w14:textId="77777777" w:rsidR="00067C34" w:rsidRDefault="00BA3CD1">
            <w:pPr>
              <w:jc w:val="both"/>
              <w:rPr>
                <w:rFonts w:ascii="Arial" w:eastAsia="Arial" w:hAnsi="Arial" w:cs="Arial"/>
                <w:sz w:val="20"/>
                <w:szCs w:val="20"/>
              </w:rPr>
            </w:pPr>
            <w:r>
              <w:rPr>
                <w:rFonts w:ascii="Arial" w:eastAsia="Arial" w:hAnsi="Arial" w:cs="Arial"/>
                <w:sz w:val="20"/>
                <w:szCs w:val="20"/>
              </w:rPr>
              <w:t>Alcaldías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A1D5A17" w14:textId="77777777" w:rsidR="00067C34" w:rsidRDefault="00BA3CD1">
            <w:pPr>
              <w:jc w:val="right"/>
              <w:rPr>
                <w:rFonts w:ascii="Arial" w:eastAsia="Arial" w:hAnsi="Arial" w:cs="Arial"/>
                <w:sz w:val="20"/>
                <w:szCs w:val="20"/>
              </w:rPr>
            </w:pPr>
            <w:r>
              <w:rPr>
                <w:rFonts w:ascii="Arial" w:eastAsia="Arial" w:hAnsi="Arial" w:cs="Arial"/>
                <w:sz w:val="20"/>
                <w:szCs w:val="20"/>
              </w:rPr>
              <w:t>98.04</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3161FB0"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2CA7C2E" w14:textId="77777777" w:rsidR="00067C34" w:rsidRDefault="00BA3CD1">
            <w:pPr>
              <w:jc w:val="right"/>
              <w:rPr>
                <w:rFonts w:ascii="Arial" w:eastAsia="Arial" w:hAnsi="Arial" w:cs="Arial"/>
                <w:sz w:val="20"/>
                <w:szCs w:val="20"/>
              </w:rPr>
            </w:pPr>
            <w:r>
              <w:rPr>
                <w:rFonts w:ascii="Arial" w:eastAsia="Arial" w:hAnsi="Arial" w:cs="Arial"/>
                <w:sz w:val="20"/>
                <w:szCs w:val="20"/>
              </w:rPr>
              <w:t>1.96</w:t>
            </w:r>
          </w:p>
        </w:tc>
      </w:tr>
      <w:tr w:rsidR="00067C34" w14:paraId="185EF9D8"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E3520FF" w14:textId="77777777" w:rsidR="00067C34" w:rsidRDefault="00BA3CD1">
            <w:pPr>
              <w:jc w:val="right"/>
              <w:rPr>
                <w:rFonts w:ascii="Arial" w:eastAsia="Arial" w:hAnsi="Arial" w:cs="Arial"/>
                <w:sz w:val="20"/>
                <w:szCs w:val="20"/>
              </w:rPr>
            </w:pPr>
            <w:r>
              <w:rPr>
                <w:rFonts w:ascii="Arial" w:eastAsia="Arial" w:hAnsi="Arial" w:cs="Arial"/>
                <w:sz w:val="20"/>
                <w:szCs w:val="20"/>
              </w:rPr>
              <w:t>5</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73FA1F0" w14:textId="77777777" w:rsidR="00067C34" w:rsidRDefault="00BA3CD1">
            <w:pPr>
              <w:jc w:val="both"/>
              <w:rPr>
                <w:rFonts w:ascii="Arial" w:eastAsia="Arial" w:hAnsi="Arial" w:cs="Arial"/>
                <w:sz w:val="20"/>
                <w:szCs w:val="20"/>
              </w:rPr>
            </w:pPr>
            <w:r>
              <w:rPr>
                <w:rFonts w:ascii="Arial" w:eastAsia="Arial" w:hAnsi="Arial" w:cs="Arial"/>
                <w:sz w:val="20"/>
                <w:szCs w:val="20"/>
              </w:rPr>
              <w:t>Autoridad del Centro Histórico.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F346314"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7C9EFDF" w14:textId="77777777" w:rsidR="00067C34" w:rsidRDefault="00BA3CD1">
            <w:pPr>
              <w:jc w:val="right"/>
              <w:rPr>
                <w:rFonts w:ascii="Arial" w:eastAsia="Arial" w:hAnsi="Arial" w:cs="Arial"/>
                <w:sz w:val="20"/>
                <w:szCs w:val="20"/>
              </w:rPr>
            </w:pPr>
            <w:r>
              <w:rPr>
                <w:rFonts w:ascii="Arial" w:eastAsia="Arial" w:hAnsi="Arial" w:cs="Arial"/>
                <w:sz w:val="20"/>
                <w:szCs w:val="20"/>
              </w:rPr>
              <w:t>99.81</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90436A6"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1B142DD" w14:textId="77777777" w:rsidR="00067C34" w:rsidRDefault="00BA3CD1">
            <w:pPr>
              <w:jc w:val="right"/>
              <w:rPr>
                <w:rFonts w:ascii="Arial" w:eastAsia="Arial" w:hAnsi="Arial" w:cs="Arial"/>
                <w:sz w:val="20"/>
                <w:szCs w:val="20"/>
              </w:rPr>
            </w:pPr>
            <w:r>
              <w:rPr>
                <w:rFonts w:ascii="Arial" w:eastAsia="Arial" w:hAnsi="Arial" w:cs="Arial"/>
                <w:sz w:val="20"/>
                <w:szCs w:val="20"/>
              </w:rPr>
              <w:t>0.19</w:t>
            </w:r>
          </w:p>
        </w:tc>
      </w:tr>
      <w:tr w:rsidR="00067C34" w14:paraId="09C07D1D"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EA399FB" w14:textId="77777777" w:rsidR="00067C34" w:rsidRDefault="00BA3CD1">
            <w:pPr>
              <w:jc w:val="right"/>
              <w:rPr>
                <w:rFonts w:ascii="Arial" w:eastAsia="Arial" w:hAnsi="Arial" w:cs="Arial"/>
                <w:sz w:val="20"/>
                <w:szCs w:val="20"/>
              </w:rPr>
            </w:pPr>
            <w:r>
              <w:rPr>
                <w:rFonts w:ascii="Arial" w:eastAsia="Arial" w:hAnsi="Arial" w:cs="Arial"/>
                <w:sz w:val="20"/>
                <w:szCs w:val="20"/>
              </w:rPr>
              <w:t>6</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556E2BD" w14:textId="77777777" w:rsidR="00067C34" w:rsidRDefault="00BA3CD1">
            <w:pPr>
              <w:jc w:val="both"/>
              <w:rPr>
                <w:rFonts w:ascii="Arial" w:eastAsia="Arial" w:hAnsi="Arial" w:cs="Arial"/>
                <w:sz w:val="20"/>
                <w:szCs w:val="20"/>
              </w:rPr>
            </w:pPr>
            <w:r>
              <w:rPr>
                <w:rFonts w:ascii="Arial" w:eastAsia="Arial" w:hAnsi="Arial" w:cs="Arial"/>
                <w:sz w:val="20"/>
                <w:szCs w:val="20"/>
              </w:rPr>
              <w:t>Caja de Previsión de la Policía Preventiva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1453B1C"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7F981D5" w14:textId="77777777" w:rsidR="00067C34" w:rsidRDefault="00BA3CD1">
            <w:pPr>
              <w:jc w:val="right"/>
              <w:rPr>
                <w:rFonts w:ascii="Arial" w:eastAsia="Arial" w:hAnsi="Arial" w:cs="Arial"/>
                <w:sz w:val="20"/>
                <w:szCs w:val="20"/>
              </w:rPr>
            </w:pPr>
            <w:r>
              <w:rPr>
                <w:rFonts w:ascii="Arial" w:eastAsia="Arial" w:hAnsi="Arial" w:cs="Arial"/>
                <w:sz w:val="20"/>
                <w:szCs w:val="20"/>
              </w:rPr>
              <w:t>97.57</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9F687FD"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1CBFD49" w14:textId="77777777" w:rsidR="00067C34" w:rsidRDefault="00BA3CD1">
            <w:pPr>
              <w:jc w:val="right"/>
              <w:rPr>
                <w:rFonts w:ascii="Arial" w:eastAsia="Arial" w:hAnsi="Arial" w:cs="Arial"/>
                <w:sz w:val="20"/>
                <w:szCs w:val="20"/>
              </w:rPr>
            </w:pPr>
            <w:r>
              <w:rPr>
                <w:rFonts w:ascii="Arial" w:eastAsia="Arial" w:hAnsi="Arial" w:cs="Arial"/>
                <w:sz w:val="20"/>
                <w:szCs w:val="20"/>
              </w:rPr>
              <w:t>2.43</w:t>
            </w:r>
          </w:p>
        </w:tc>
      </w:tr>
      <w:tr w:rsidR="00067C34" w14:paraId="2EF1A80D" w14:textId="77777777">
        <w:trPr>
          <w:trHeight w:val="66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88C7FBB" w14:textId="77777777" w:rsidR="00067C34" w:rsidRDefault="00BA3CD1">
            <w:pPr>
              <w:jc w:val="right"/>
              <w:rPr>
                <w:rFonts w:ascii="Arial" w:eastAsia="Arial" w:hAnsi="Arial" w:cs="Arial"/>
                <w:sz w:val="20"/>
                <w:szCs w:val="20"/>
              </w:rPr>
            </w:pPr>
            <w:r>
              <w:rPr>
                <w:rFonts w:ascii="Arial" w:eastAsia="Arial" w:hAnsi="Arial" w:cs="Arial"/>
                <w:sz w:val="20"/>
                <w:szCs w:val="20"/>
              </w:rPr>
              <w:t>7</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10CEA44" w14:textId="77777777" w:rsidR="00067C34" w:rsidRDefault="00BA3CD1">
            <w:pPr>
              <w:jc w:val="both"/>
              <w:rPr>
                <w:rFonts w:ascii="Arial" w:eastAsia="Arial" w:hAnsi="Arial" w:cs="Arial"/>
                <w:sz w:val="20"/>
                <w:szCs w:val="20"/>
              </w:rPr>
            </w:pPr>
            <w:r>
              <w:rPr>
                <w:rFonts w:ascii="Arial" w:eastAsia="Arial" w:hAnsi="Arial" w:cs="Arial"/>
                <w:sz w:val="20"/>
                <w:szCs w:val="20"/>
              </w:rPr>
              <w:t>Comisión de Derechos Humanos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783E5E1" w14:textId="77777777" w:rsidR="00067C34" w:rsidRDefault="00BA3CD1">
            <w:pPr>
              <w:jc w:val="both"/>
              <w:rPr>
                <w:rFonts w:ascii="Arial" w:eastAsia="Arial" w:hAnsi="Arial" w:cs="Arial"/>
                <w:sz w:val="20"/>
                <w:szCs w:val="20"/>
              </w:rPr>
            </w:pPr>
            <w:r>
              <w:rPr>
                <w:rFonts w:ascii="Arial" w:eastAsia="Arial" w:hAnsi="Arial" w:cs="Arial"/>
                <w:sz w:val="20"/>
                <w:szCs w:val="20"/>
              </w:rPr>
              <w:t>Órganos Autónomos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A16C4E7" w14:textId="77777777" w:rsidR="00067C34" w:rsidRDefault="00BA3CD1">
            <w:pPr>
              <w:jc w:val="right"/>
              <w:rPr>
                <w:rFonts w:ascii="Arial" w:eastAsia="Arial" w:hAnsi="Arial" w:cs="Arial"/>
                <w:sz w:val="20"/>
                <w:szCs w:val="20"/>
              </w:rPr>
            </w:pPr>
            <w:r>
              <w:rPr>
                <w:rFonts w:ascii="Arial" w:eastAsia="Arial" w:hAnsi="Arial" w:cs="Arial"/>
                <w:sz w:val="20"/>
                <w:szCs w:val="20"/>
              </w:rPr>
              <w:t>97.05</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68CA0E4"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C0535E7" w14:textId="77777777" w:rsidR="00067C34" w:rsidRDefault="00BA3CD1">
            <w:pPr>
              <w:jc w:val="right"/>
              <w:rPr>
                <w:rFonts w:ascii="Arial" w:eastAsia="Arial" w:hAnsi="Arial" w:cs="Arial"/>
                <w:sz w:val="20"/>
                <w:szCs w:val="20"/>
              </w:rPr>
            </w:pPr>
            <w:r>
              <w:rPr>
                <w:rFonts w:ascii="Arial" w:eastAsia="Arial" w:hAnsi="Arial" w:cs="Arial"/>
                <w:sz w:val="20"/>
                <w:szCs w:val="20"/>
              </w:rPr>
              <w:t>2.95</w:t>
            </w:r>
          </w:p>
        </w:tc>
      </w:tr>
      <w:tr w:rsidR="00067C34" w14:paraId="5C209177" w14:textId="77777777">
        <w:trPr>
          <w:trHeight w:val="66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7C8B8FE" w14:textId="77777777" w:rsidR="00067C34" w:rsidRDefault="00BA3CD1">
            <w:pPr>
              <w:jc w:val="right"/>
              <w:rPr>
                <w:rFonts w:ascii="Arial" w:eastAsia="Arial" w:hAnsi="Arial" w:cs="Arial"/>
                <w:sz w:val="20"/>
                <w:szCs w:val="20"/>
              </w:rPr>
            </w:pPr>
            <w:r>
              <w:rPr>
                <w:rFonts w:ascii="Arial" w:eastAsia="Arial" w:hAnsi="Arial" w:cs="Arial"/>
                <w:sz w:val="20"/>
                <w:szCs w:val="20"/>
              </w:rPr>
              <w:t>8</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A6D9994" w14:textId="77777777" w:rsidR="00067C34" w:rsidRDefault="00BA3CD1">
            <w:pPr>
              <w:jc w:val="both"/>
              <w:rPr>
                <w:rFonts w:ascii="Arial" w:eastAsia="Arial" w:hAnsi="Arial" w:cs="Arial"/>
                <w:sz w:val="20"/>
                <w:szCs w:val="20"/>
              </w:rPr>
            </w:pPr>
            <w:r>
              <w:rPr>
                <w:rFonts w:ascii="Arial" w:eastAsia="Arial" w:hAnsi="Arial" w:cs="Arial"/>
                <w:sz w:val="20"/>
                <w:szCs w:val="20"/>
              </w:rPr>
              <w:t>Consejo de la Judicatura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9A98A2D" w14:textId="77777777" w:rsidR="00067C34" w:rsidRDefault="00BA3CD1">
            <w:pPr>
              <w:jc w:val="both"/>
              <w:rPr>
                <w:rFonts w:ascii="Arial" w:eastAsia="Arial" w:hAnsi="Arial" w:cs="Arial"/>
                <w:sz w:val="20"/>
                <w:szCs w:val="20"/>
              </w:rPr>
            </w:pPr>
            <w:r>
              <w:rPr>
                <w:rFonts w:ascii="Arial" w:eastAsia="Arial" w:hAnsi="Arial" w:cs="Arial"/>
                <w:sz w:val="20"/>
                <w:szCs w:val="20"/>
              </w:rPr>
              <w:t>Poder Judicial</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82697CC" w14:textId="77777777" w:rsidR="00067C34" w:rsidRDefault="00BA3CD1">
            <w:pPr>
              <w:jc w:val="right"/>
              <w:rPr>
                <w:rFonts w:ascii="Arial" w:eastAsia="Arial" w:hAnsi="Arial" w:cs="Arial"/>
                <w:sz w:val="20"/>
                <w:szCs w:val="20"/>
              </w:rPr>
            </w:pPr>
            <w:r>
              <w:rPr>
                <w:rFonts w:ascii="Arial" w:eastAsia="Arial" w:hAnsi="Arial" w:cs="Arial"/>
                <w:sz w:val="20"/>
                <w:szCs w:val="20"/>
              </w:rPr>
              <w:t>99.34</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B9A3079"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54250C0" w14:textId="77777777" w:rsidR="00067C34" w:rsidRDefault="00BA3CD1">
            <w:pPr>
              <w:jc w:val="right"/>
              <w:rPr>
                <w:rFonts w:ascii="Arial" w:eastAsia="Arial" w:hAnsi="Arial" w:cs="Arial"/>
                <w:sz w:val="20"/>
                <w:szCs w:val="20"/>
              </w:rPr>
            </w:pPr>
            <w:r>
              <w:rPr>
                <w:rFonts w:ascii="Arial" w:eastAsia="Arial" w:hAnsi="Arial" w:cs="Arial"/>
                <w:sz w:val="20"/>
                <w:szCs w:val="20"/>
              </w:rPr>
              <w:t>0.66</w:t>
            </w:r>
          </w:p>
        </w:tc>
      </w:tr>
      <w:tr w:rsidR="00067C34" w14:paraId="1AB0A2B5"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8797984" w14:textId="77777777" w:rsidR="00067C34" w:rsidRDefault="00BA3CD1">
            <w:pPr>
              <w:jc w:val="right"/>
              <w:rPr>
                <w:rFonts w:ascii="Arial" w:eastAsia="Arial" w:hAnsi="Arial" w:cs="Arial"/>
                <w:sz w:val="20"/>
                <w:szCs w:val="20"/>
              </w:rPr>
            </w:pPr>
            <w:r>
              <w:rPr>
                <w:rFonts w:ascii="Arial" w:eastAsia="Arial" w:hAnsi="Arial" w:cs="Arial"/>
                <w:sz w:val="20"/>
                <w:szCs w:val="20"/>
              </w:rPr>
              <w:t>9</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7379D63" w14:textId="77777777" w:rsidR="00067C34" w:rsidRDefault="00BA3CD1">
            <w:pPr>
              <w:jc w:val="both"/>
              <w:rPr>
                <w:rFonts w:ascii="Arial" w:eastAsia="Arial" w:hAnsi="Arial" w:cs="Arial"/>
                <w:sz w:val="20"/>
                <w:szCs w:val="20"/>
              </w:rPr>
            </w:pPr>
            <w:r>
              <w:rPr>
                <w:rFonts w:ascii="Arial" w:eastAsia="Arial" w:hAnsi="Arial" w:cs="Arial"/>
                <w:sz w:val="20"/>
                <w:szCs w:val="20"/>
              </w:rPr>
              <w:t>Consejo para Prevenir y Eliminar la Discriminación en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B9DB009"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B7737A3" w14:textId="77777777" w:rsidR="00067C34" w:rsidRDefault="00BA3CD1">
            <w:pPr>
              <w:jc w:val="right"/>
              <w:rPr>
                <w:rFonts w:ascii="Arial" w:eastAsia="Arial" w:hAnsi="Arial" w:cs="Arial"/>
                <w:sz w:val="20"/>
                <w:szCs w:val="20"/>
              </w:rPr>
            </w:pPr>
            <w:r>
              <w:rPr>
                <w:rFonts w:ascii="Arial" w:eastAsia="Arial" w:hAnsi="Arial" w:cs="Arial"/>
                <w:sz w:val="20"/>
                <w:szCs w:val="20"/>
              </w:rPr>
              <w:t>94.35</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79E5769"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08C1FE7" w14:textId="77777777" w:rsidR="00067C34" w:rsidRDefault="00BA3CD1">
            <w:pPr>
              <w:jc w:val="right"/>
              <w:rPr>
                <w:rFonts w:ascii="Arial" w:eastAsia="Arial" w:hAnsi="Arial" w:cs="Arial"/>
                <w:sz w:val="20"/>
                <w:szCs w:val="20"/>
              </w:rPr>
            </w:pPr>
            <w:r>
              <w:rPr>
                <w:rFonts w:ascii="Arial" w:eastAsia="Arial" w:hAnsi="Arial" w:cs="Arial"/>
                <w:sz w:val="20"/>
                <w:szCs w:val="20"/>
              </w:rPr>
              <w:t>5.65</w:t>
            </w:r>
          </w:p>
        </w:tc>
      </w:tr>
      <w:tr w:rsidR="00067C34" w14:paraId="1A977233"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55EBFAB" w14:textId="77777777" w:rsidR="00067C34" w:rsidRDefault="00BA3CD1">
            <w:pPr>
              <w:jc w:val="right"/>
              <w:rPr>
                <w:rFonts w:ascii="Arial" w:eastAsia="Arial" w:hAnsi="Arial" w:cs="Arial"/>
                <w:sz w:val="20"/>
                <w:szCs w:val="20"/>
              </w:rPr>
            </w:pPr>
            <w:r>
              <w:rPr>
                <w:rFonts w:ascii="Arial" w:eastAsia="Arial" w:hAnsi="Arial" w:cs="Arial"/>
                <w:sz w:val="20"/>
                <w:szCs w:val="20"/>
              </w:rPr>
              <w:t>10</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EEBADCC" w14:textId="77777777" w:rsidR="00067C34" w:rsidRDefault="00BA3CD1">
            <w:pPr>
              <w:jc w:val="both"/>
              <w:rPr>
                <w:rFonts w:ascii="Arial" w:eastAsia="Arial" w:hAnsi="Arial" w:cs="Arial"/>
                <w:sz w:val="20"/>
                <w:szCs w:val="20"/>
              </w:rPr>
            </w:pPr>
            <w:r>
              <w:rPr>
                <w:rFonts w:ascii="Arial" w:eastAsia="Arial" w:hAnsi="Arial" w:cs="Arial"/>
                <w:sz w:val="20"/>
                <w:szCs w:val="20"/>
              </w:rPr>
              <w:t>Instituto de Capacitación para el Trabajo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2771C73"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w:t>
            </w:r>
            <w:r>
              <w:rPr>
                <w:rFonts w:ascii="Arial" w:eastAsia="Arial" w:hAnsi="Arial" w:cs="Arial"/>
                <w:sz w:val="20"/>
                <w:szCs w:val="20"/>
              </w:rPr>
              <w:t>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E8B45DA" w14:textId="77777777" w:rsidR="00067C34" w:rsidRDefault="00BA3CD1">
            <w:pPr>
              <w:jc w:val="right"/>
              <w:rPr>
                <w:rFonts w:ascii="Arial" w:eastAsia="Arial" w:hAnsi="Arial" w:cs="Arial"/>
                <w:sz w:val="20"/>
                <w:szCs w:val="20"/>
              </w:rPr>
            </w:pPr>
            <w:r>
              <w:rPr>
                <w:rFonts w:ascii="Arial" w:eastAsia="Arial" w:hAnsi="Arial" w:cs="Arial"/>
                <w:sz w:val="20"/>
                <w:szCs w:val="20"/>
              </w:rPr>
              <w:t>63.28</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00384BB"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207A6D1" w14:textId="77777777" w:rsidR="00067C34" w:rsidRDefault="00BA3CD1">
            <w:pPr>
              <w:jc w:val="right"/>
              <w:rPr>
                <w:rFonts w:ascii="Arial" w:eastAsia="Arial" w:hAnsi="Arial" w:cs="Arial"/>
                <w:sz w:val="20"/>
                <w:szCs w:val="20"/>
              </w:rPr>
            </w:pPr>
            <w:r>
              <w:rPr>
                <w:rFonts w:ascii="Arial" w:eastAsia="Arial" w:hAnsi="Arial" w:cs="Arial"/>
                <w:sz w:val="20"/>
                <w:szCs w:val="20"/>
              </w:rPr>
              <w:t>36.72</w:t>
            </w:r>
          </w:p>
        </w:tc>
      </w:tr>
      <w:tr w:rsidR="00067C34" w14:paraId="15CCBF53" w14:textId="77777777">
        <w:trPr>
          <w:trHeight w:val="66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F04E0C3" w14:textId="77777777" w:rsidR="00067C34" w:rsidRDefault="00BA3CD1">
            <w:pPr>
              <w:jc w:val="right"/>
              <w:rPr>
                <w:rFonts w:ascii="Arial" w:eastAsia="Arial" w:hAnsi="Arial" w:cs="Arial"/>
                <w:sz w:val="20"/>
                <w:szCs w:val="20"/>
              </w:rPr>
            </w:pPr>
            <w:r>
              <w:rPr>
                <w:rFonts w:ascii="Arial" w:eastAsia="Arial" w:hAnsi="Arial" w:cs="Arial"/>
                <w:sz w:val="20"/>
                <w:szCs w:val="20"/>
              </w:rPr>
              <w:t>11</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92F6CF3" w14:textId="77777777" w:rsidR="00067C34" w:rsidRDefault="00BA3CD1">
            <w:pPr>
              <w:jc w:val="both"/>
              <w:rPr>
                <w:rFonts w:ascii="Arial" w:eastAsia="Arial" w:hAnsi="Arial" w:cs="Arial"/>
                <w:sz w:val="20"/>
                <w:szCs w:val="20"/>
              </w:rPr>
            </w:pPr>
            <w:r>
              <w:rPr>
                <w:rFonts w:ascii="Arial" w:eastAsia="Arial" w:hAnsi="Arial" w:cs="Arial"/>
                <w:sz w:val="20"/>
                <w:szCs w:val="20"/>
              </w:rPr>
              <w:t>Junta Local de Conciliación y Arbitraje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B7368D0" w14:textId="77777777" w:rsidR="00067C34" w:rsidRDefault="00BA3CD1">
            <w:pPr>
              <w:jc w:val="both"/>
              <w:rPr>
                <w:rFonts w:ascii="Arial" w:eastAsia="Arial" w:hAnsi="Arial" w:cs="Arial"/>
                <w:sz w:val="20"/>
                <w:szCs w:val="20"/>
              </w:rPr>
            </w:pPr>
            <w:r>
              <w:rPr>
                <w:rFonts w:ascii="Arial" w:eastAsia="Arial" w:hAnsi="Arial" w:cs="Arial"/>
                <w:sz w:val="20"/>
                <w:szCs w:val="20"/>
              </w:rPr>
              <w:t>Órganos Autónomos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588D8CA" w14:textId="77777777" w:rsidR="00067C34" w:rsidRDefault="00BA3CD1">
            <w:pPr>
              <w:jc w:val="right"/>
              <w:rPr>
                <w:rFonts w:ascii="Arial" w:eastAsia="Arial" w:hAnsi="Arial" w:cs="Arial"/>
                <w:sz w:val="20"/>
                <w:szCs w:val="20"/>
              </w:rPr>
            </w:pPr>
            <w:r>
              <w:rPr>
                <w:rFonts w:ascii="Arial" w:eastAsia="Arial" w:hAnsi="Arial" w:cs="Arial"/>
                <w:sz w:val="20"/>
                <w:szCs w:val="20"/>
              </w:rPr>
              <w:t>94.97</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DF1A682"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A8D9CFF" w14:textId="77777777" w:rsidR="00067C34" w:rsidRDefault="00BA3CD1">
            <w:pPr>
              <w:jc w:val="right"/>
              <w:rPr>
                <w:rFonts w:ascii="Arial" w:eastAsia="Arial" w:hAnsi="Arial" w:cs="Arial"/>
                <w:sz w:val="20"/>
                <w:szCs w:val="20"/>
              </w:rPr>
            </w:pPr>
            <w:r>
              <w:rPr>
                <w:rFonts w:ascii="Arial" w:eastAsia="Arial" w:hAnsi="Arial" w:cs="Arial"/>
                <w:sz w:val="20"/>
                <w:szCs w:val="20"/>
              </w:rPr>
              <w:t>5.03</w:t>
            </w:r>
          </w:p>
        </w:tc>
      </w:tr>
      <w:tr w:rsidR="00067C34" w14:paraId="47261C10"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AD4A113" w14:textId="77777777" w:rsidR="00067C34" w:rsidRDefault="00BA3CD1">
            <w:pPr>
              <w:jc w:val="right"/>
              <w:rPr>
                <w:rFonts w:ascii="Arial" w:eastAsia="Arial" w:hAnsi="Arial" w:cs="Arial"/>
                <w:sz w:val="20"/>
                <w:szCs w:val="20"/>
              </w:rPr>
            </w:pPr>
            <w:r>
              <w:rPr>
                <w:rFonts w:ascii="Arial" w:eastAsia="Arial" w:hAnsi="Arial" w:cs="Arial"/>
                <w:sz w:val="20"/>
                <w:szCs w:val="20"/>
              </w:rPr>
              <w:t>12</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A345281" w14:textId="77777777" w:rsidR="00067C34" w:rsidRDefault="00BA3CD1">
            <w:pPr>
              <w:jc w:val="both"/>
              <w:rPr>
                <w:rFonts w:ascii="Arial" w:eastAsia="Arial" w:hAnsi="Arial" w:cs="Arial"/>
                <w:sz w:val="20"/>
                <w:szCs w:val="20"/>
              </w:rPr>
            </w:pPr>
            <w:r>
              <w:rPr>
                <w:rFonts w:ascii="Arial" w:eastAsia="Arial" w:hAnsi="Arial" w:cs="Arial"/>
                <w:sz w:val="20"/>
                <w:szCs w:val="20"/>
              </w:rPr>
              <w:t>Metrobús.</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44E21C3"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4721C45" w14:textId="77777777" w:rsidR="00067C34" w:rsidRDefault="00BA3CD1">
            <w:pPr>
              <w:jc w:val="right"/>
              <w:rPr>
                <w:rFonts w:ascii="Arial" w:eastAsia="Arial" w:hAnsi="Arial" w:cs="Arial"/>
                <w:sz w:val="20"/>
                <w:szCs w:val="20"/>
              </w:rPr>
            </w:pPr>
            <w:r>
              <w:rPr>
                <w:rFonts w:ascii="Arial" w:eastAsia="Arial" w:hAnsi="Arial" w:cs="Arial"/>
                <w:sz w:val="20"/>
                <w:szCs w:val="20"/>
              </w:rPr>
              <w:t>76.76</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8B34228"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FFDD01E" w14:textId="77777777" w:rsidR="00067C34" w:rsidRDefault="00BA3CD1">
            <w:pPr>
              <w:jc w:val="right"/>
              <w:rPr>
                <w:rFonts w:ascii="Arial" w:eastAsia="Arial" w:hAnsi="Arial" w:cs="Arial"/>
                <w:sz w:val="20"/>
                <w:szCs w:val="20"/>
              </w:rPr>
            </w:pPr>
            <w:r>
              <w:rPr>
                <w:rFonts w:ascii="Arial" w:eastAsia="Arial" w:hAnsi="Arial" w:cs="Arial"/>
                <w:sz w:val="20"/>
                <w:szCs w:val="20"/>
              </w:rPr>
              <w:t>23.24</w:t>
            </w:r>
          </w:p>
        </w:tc>
      </w:tr>
      <w:tr w:rsidR="00067C34" w14:paraId="5F504C62"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C0F73BF" w14:textId="77777777" w:rsidR="00067C34" w:rsidRDefault="00BA3CD1">
            <w:pPr>
              <w:jc w:val="right"/>
              <w:rPr>
                <w:rFonts w:ascii="Arial" w:eastAsia="Arial" w:hAnsi="Arial" w:cs="Arial"/>
                <w:sz w:val="20"/>
                <w:szCs w:val="20"/>
              </w:rPr>
            </w:pPr>
            <w:r>
              <w:rPr>
                <w:rFonts w:ascii="Arial" w:eastAsia="Arial" w:hAnsi="Arial" w:cs="Arial"/>
                <w:sz w:val="20"/>
                <w:szCs w:val="20"/>
              </w:rPr>
              <w:t>13</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7D82960" w14:textId="77777777" w:rsidR="00067C34" w:rsidRDefault="00BA3CD1">
            <w:pPr>
              <w:jc w:val="both"/>
              <w:rPr>
                <w:rFonts w:ascii="Arial" w:eastAsia="Arial" w:hAnsi="Arial" w:cs="Arial"/>
                <w:sz w:val="20"/>
                <w:szCs w:val="20"/>
              </w:rPr>
            </w:pPr>
            <w:r>
              <w:rPr>
                <w:rFonts w:ascii="Arial" w:eastAsia="Arial" w:hAnsi="Arial" w:cs="Arial"/>
                <w:sz w:val="20"/>
                <w:szCs w:val="20"/>
              </w:rPr>
              <w:t>Movimiento Ciudadano.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AB80A2F" w14:textId="77777777" w:rsidR="00067C34" w:rsidRDefault="00BA3CD1">
            <w:pPr>
              <w:jc w:val="both"/>
              <w:rPr>
                <w:rFonts w:ascii="Arial" w:eastAsia="Arial" w:hAnsi="Arial" w:cs="Arial"/>
                <w:sz w:val="20"/>
                <w:szCs w:val="20"/>
              </w:rPr>
            </w:pPr>
            <w:r>
              <w:rPr>
                <w:rFonts w:ascii="Arial" w:eastAsia="Arial" w:hAnsi="Arial" w:cs="Arial"/>
                <w:sz w:val="20"/>
                <w:szCs w:val="20"/>
              </w:rPr>
              <w:t>Partidos Políticos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16BA3C2" w14:textId="77777777" w:rsidR="00067C34" w:rsidRDefault="00BA3CD1">
            <w:pPr>
              <w:jc w:val="right"/>
              <w:rPr>
                <w:rFonts w:ascii="Arial" w:eastAsia="Arial" w:hAnsi="Arial" w:cs="Arial"/>
                <w:sz w:val="20"/>
                <w:szCs w:val="20"/>
              </w:rPr>
            </w:pPr>
            <w:r>
              <w:rPr>
                <w:rFonts w:ascii="Arial" w:eastAsia="Arial" w:hAnsi="Arial" w:cs="Arial"/>
                <w:sz w:val="20"/>
                <w:szCs w:val="20"/>
              </w:rPr>
              <w:t>99.24</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9763EE3"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8577C81" w14:textId="77777777" w:rsidR="00067C34" w:rsidRDefault="00BA3CD1">
            <w:pPr>
              <w:jc w:val="right"/>
              <w:rPr>
                <w:rFonts w:ascii="Arial" w:eastAsia="Arial" w:hAnsi="Arial" w:cs="Arial"/>
                <w:sz w:val="20"/>
                <w:szCs w:val="20"/>
              </w:rPr>
            </w:pPr>
            <w:r>
              <w:rPr>
                <w:rFonts w:ascii="Arial" w:eastAsia="Arial" w:hAnsi="Arial" w:cs="Arial"/>
                <w:sz w:val="20"/>
                <w:szCs w:val="20"/>
              </w:rPr>
              <w:t>0.76</w:t>
            </w:r>
          </w:p>
        </w:tc>
      </w:tr>
      <w:tr w:rsidR="00067C34" w14:paraId="4E15F406"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68F3E8B" w14:textId="77777777" w:rsidR="00067C34" w:rsidRDefault="00BA3CD1">
            <w:pPr>
              <w:jc w:val="right"/>
              <w:rPr>
                <w:rFonts w:ascii="Arial" w:eastAsia="Arial" w:hAnsi="Arial" w:cs="Arial"/>
                <w:sz w:val="20"/>
                <w:szCs w:val="20"/>
              </w:rPr>
            </w:pPr>
            <w:r>
              <w:rPr>
                <w:rFonts w:ascii="Arial" w:eastAsia="Arial" w:hAnsi="Arial" w:cs="Arial"/>
                <w:sz w:val="20"/>
                <w:szCs w:val="20"/>
              </w:rPr>
              <w:t>14</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05F2666" w14:textId="77777777" w:rsidR="00067C34" w:rsidRDefault="00BA3CD1">
            <w:pPr>
              <w:jc w:val="both"/>
              <w:rPr>
                <w:rFonts w:ascii="Arial" w:eastAsia="Arial" w:hAnsi="Arial" w:cs="Arial"/>
                <w:sz w:val="20"/>
                <w:szCs w:val="20"/>
              </w:rPr>
            </w:pPr>
            <w:r>
              <w:rPr>
                <w:rFonts w:ascii="Arial" w:eastAsia="Arial" w:hAnsi="Arial" w:cs="Arial"/>
                <w:sz w:val="20"/>
                <w:szCs w:val="20"/>
              </w:rPr>
              <w:t>Partido del Trabajo.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D50F0F8" w14:textId="77777777" w:rsidR="00067C34" w:rsidRDefault="00BA3CD1">
            <w:pPr>
              <w:jc w:val="both"/>
              <w:rPr>
                <w:rFonts w:ascii="Arial" w:eastAsia="Arial" w:hAnsi="Arial" w:cs="Arial"/>
                <w:sz w:val="20"/>
                <w:szCs w:val="20"/>
              </w:rPr>
            </w:pPr>
            <w:r>
              <w:rPr>
                <w:rFonts w:ascii="Arial" w:eastAsia="Arial" w:hAnsi="Arial" w:cs="Arial"/>
                <w:sz w:val="20"/>
                <w:szCs w:val="20"/>
              </w:rPr>
              <w:t>Partidos Políticos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53932BB" w14:textId="77777777" w:rsidR="00067C34" w:rsidRDefault="00BA3CD1">
            <w:pPr>
              <w:jc w:val="right"/>
              <w:rPr>
                <w:rFonts w:ascii="Arial" w:eastAsia="Arial" w:hAnsi="Arial" w:cs="Arial"/>
                <w:sz w:val="20"/>
                <w:szCs w:val="20"/>
              </w:rPr>
            </w:pPr>
            <w:r>
              <w:rPr>
                <w:rFonts w:ascii="Arial" w:eastAsia="Arial" w:hAnsi="Arial" w:cs="Arial"/>
                <w:sz w:val="20"/>
                <w:szCs w:val="20"/>
              </w:rPr>
              <w:t>95.00</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E5C2B90"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1002847" w14:textId="77777777" w:rsidR="00067C34" w:rsidRDefault="00BA3CD1">
            <w:pPr>
              <w:jc w:val="right"/>
              <w:rPr>
                <w:rFonts w:ascii="Arial" w:eastAsia="Arial" w:hAnsi="Arial" w:cs="Arial"/>
                <w:sz w:val="20"/>
                <w:szCs w:val="20"/>
              </w:rPr>
            </w:pPr>
            <w:r>
              <w:rPr>
                <w:rFonts w:ascii="Arial" w:eastAsia="Arial" w:hAnsi="Arial" w:cs="Arial"/>
                <w:sz w:val="20"/>
                <w:szCs w:val="20"/>
              </w:rPr>
              <w:t>5.00</w:t>
            </w:r>
          </w:p>
        </w:tc>
      </w:tr>
      <w:tr w:rsidR="00067C34" w14:paraId="6917E4C3"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B3F67EA" w14:textId="77777777" w:rsidR="00067C34" w:rsidRDefault="00BA3CD1">
            <w:pPr>
              <w:jc w:val="right"/>
              <w:rPr>
                <w:rFonts w:ascii="Arial" w:eastAsia="Arial" w:hAnsi="Arial" w:cs="Arial"/>
                <w:sz w:val="20"/>
                <w:szCs w:val="20"/>
              </w:rPr>
            </w:pPr>
            <w:r>
              <w:rPr>
                <w:rFonts w:ascii="Arial" w:eastAsia="Arial" w:hAnsi="Arial" w:cs="Arial"/>
                <w:sz w:val="20"/>
                <w:szCs w:val="20"/>
              </w:rPr>
              <w:t>15</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A825EC4" w14:textId="77777777" w:rsidR="00067C34" w:rsidRDefault="00BA3CD1">
            <w:pPr>
              <w:jc w:val="both"/>
              <w:rPr>
                <w:rFonts w:ascii="Arial" w:eastAsia="Arial" w:hAnsi="Arial" w:cs="Arial"/>
                <w:sz w:val="20"/>
                <w:szCs w:val="20"/>
              </w:rPr>
            </w:pPr>
            <w:r>
              <w:rPr>
                <w:rFonts w:ascii="Arial" w:eastAsia="Arial" w:hAnsi="Arial" w:cs="Arial"/>
                <w:sz w:val="20"/>
                <w:szCs w:val="20"/>
              </w:rPr>
              <w:t>Partido Revolucionario Institucional.</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67A481D" w14:textId="77777777" w:rsidR="00067C34" w:rsidRDefault="00BA3CD1">
            <w:pPr>
              <w:jc w:val="both"/>
              <w:rPr>
                <w:rFonts w:ascii="Arial" w:eastAsia="Arial" w:hAnsi="Arial" w:cs="Arial"/>
                <w:sz w:val="20"/>
                <w:szCs w:val="20"/>
              </w:rPr>
            </w:pPr>
            <w:r>
              <w:rPr>
                <w:rFonts w:ascii="Arial" w:eastAsia="Arial" w:hAnsi="Arial" w:cs="Arial"/>
                <w:sz w:val="20"/>
                <w:szCs w:val="20"/>
              </w:rPr>
              <w:t>Partidos Políticos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C2D623E" w14:textId="77777777" w:rsidR="00067C34" w:rsidRDefault="00BA3CD1">
            <w:pPr>
              <w:jc w:val="right"/>
              <w:rPr>
                <w:rFonts w:ascii="Arial" w:eastAsia="Arial" w:hAnsi="Arial" w:cs="Arial"/>
                <w:sz w:val="20"/>
                <w:szCs w:val="20"/>
              </w:rPr>
            </w:pPr>
            <w:r>
              <w:rPr>
                <w:rFonts w:ascii="Arial" w:eastAsia="Arial" w:hAnsi="Arial" w:cs="Arial"/>
                <w:sz w:val="20"/>
                <w:szCs w:val="20"/>
              </w:rPr>
              <w:t>84.98</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41EB8F7"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9AAD0C5" w14:textId="77777777" w:rsidR="00067C34" w:rsidRDefault="00BA3CD1">
            <w:pPr>
              <w:jc w:val="right"/>
              <w:rPr>
                <w:rFonts w:ascii="Arial" w:eastAsia="Arial" w:hAnsi="Arial" w:cs="Arial"/>
                <w:sz w:val="20"/>
                <w:szCs w:val="20"/>
              </w:rPr>
            </w:pPr>
            <w:r>
              <w:rPr>
                <w:rFonts w:ascii="Arial" w:eastAsia="Arial" w:hAnsi="Arial" w:cs="Arial"/>
                <w:sz w:val="20"/>
                <w:szCs w:val="20"/>
              </w:rPr>
              <w:t>15.02</w:t>
            </w:r>
          </w:p>
        </w:tc>
      </w:tr>
      <w:tr w:rsidR="00067C34" w14:paraId="59B81AE8"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54B00CD1" w14:textId="77777777" w:rsidR="00067C34" w:rsidRDefault="00BA3CD1">
            <w:pPr>
              <w:jc w:val="right"/>
              <w:rPr>
                <w:rFonts w:ascii="Arial" w:eastAsia="Arial" w:hAnsi="Arial" w:cs="Arial"/>
                <w:sz w:val="20"/>
                <w:szCs w:val="20"/>
              </w:rPr>
            </w:pPr>
            <w:r>
              <w:rPr>
                <w:rFonts w:ascii="Arial" w:eastAsia="Arial" w:hAnsi="Arial" w:cs="Arial"/>
                <w:sz w:val="20"/>
                <w:szCs w:val="20"/>
              </w:rPr>
              <w:t>16</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0E8910F" w14:textId="77777777" w:rsidR="00067C34" w:rsidRDefault="00BA3CD1">
            <w:pPr>
              <w:jc w:val="both"/>
              <w:rPr>
                <w:rFonts w:ascii="Arial" w:eastAsia="Arial" w:hAnsi="Arial" w:cs="Arial"/>
                <w:sz w:val="20"/>
                <w:szCs w:val="20"/>
              </w:rPr>
            </w:pPr>
            <w:r>
              <w:rPr>
                <w:rFonts w:ascii="Arial" w:eastAsia="Arial" w:hAnsi="Arial" w:cs="Arial"/>
                <w:sz w:val="20"/>
                <w:szCs w:val="20"/>
              </w:rPr>
              <w:t>Partido Verde Ecologista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511ABD6" w14:textId="77777777" w:rsidR="00067C34" w:rsidRDefault="00BA3CD1">
            <w:pPr>
              <w:jc w:val="both"/>
              <w:rPr>
                <w:rFonts w:ascii="Arial" w:eastAsia="Arial" w:hAnsi="Arial" w:cs="Arial"/>
                <w:sz w:val="20"/>
                <w:szCs w:val="20"/>
              </w:rPr>
            </w:pPr>
            <w:r>
              <w:rPr>
                <w:rFonts w:ascii="Arial" w:eastAsia="Arial" w:hAnsi="Arial" w:cs="Arial"/>
                <w:sz w:val="20"/>
                <w:szCs w:val="20"/>
              </w:rPr>
              <w:t>Partidos Políticos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1FA2435" w14:textId="77777777" w:rsidR="00067C34" w:rsidRDefault="00BA3CD1">
            <w:pPr>
              <w:jc w:val="right"/>
              <w:rPr>
                <w:rFonts w:ascii="Arial" w:eastAsia="Arial" w:hAnsi="Arial" w:cs="Arial"/>
                <w:sz w:val="20"/>
                <w:szCs w:val="20"/>
              </w:rPr>
            </w:pPr>
            <w:r>
              <w:rPr>
                <w:rFonts w:ascii="Arial" w:eastAsia="Arial" w:hAnsi="Arial" w:cs="Arial"/>
                <w:sz w:val="20"/>
                <w:szCs w:val="20"/>
              </w:rPr>
              <w:t>98.13</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44BE730"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EF0DF6C" w14:textId="77777777" w:rsidR="00067C34" w:rsidRDefault="00BA3CD1">
            <w:pPr>
              <w:jc w:val="right"/>
              <w:rPr>
                <w:rFonts w:ascii="Arial" w:eastAsia="Arial" w:hAnsi="Arial" w:cs="Arial"/>
                <w:sz w:val="20"/>
                <w:szCs w:val="20"/>
              </w:rPr>
            </w:pPr>
            <w:r>
              <w:rPr>
                <w:rFonts w:ascii="Arial" w:eastAsia="Arial" w:hAnsi="Arial" w:cs="Arial"/>
                <w:sz w:val="20"/>
                <w:szCs w:val="20"/>
              </w:rPr>
              <w:t>1.87</w:t>
            </w:r>
          </w:p>
        </w:tc>
      </w:tr>
      <w:tr w:rsidR="00067C34" w14:paraId="2462C6BE"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6ED2CF9" w14:textId="77777777" w:rsidR="00067C34" w:rsidRDefault="00BA3CD1">
            <w:pPr>
              <w:jc w:val="right"/>
              <w:rPr>
                <w:rFonts w:ascii="Arial" w:eastAsia="Arial" w:hAnsi="Arial" w:cs="Arial"/>
                <w:sz w:val="20"/>
                <w:szCs w:val="20"/>
              </w:rPr>
            </w:pPr>
            <w:r>
              <w:rPr>
                <w:rFonts w:ascii="Arial" w:eastAsia="Arial" w:hAnsi="Arial" w:cs="Arial"/>
                <w:sz w:val="20"/>
                <w:szCs w:val="20"/>
              </w:rPr>
              <w:t>17</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3E2F524" w14:textId="77777777" w:rsidR="00067C34" w:rsidRDefault="00BA3CD1">
            <w:pPr>
              <w:jc w:val="both"/>
              <w:rPr>
                <w:rFonts w:ascii="Arial" w:eastAsia="Arial" w:hAnsi="Arial" w:cs="Arial"/>
                <w:sz w:val="20"/>
                <w:szCs w:val="20"/>
              </w:rPr>
            </w:pPr>
            <w:r>
              <w:rPr>
                <w:rFonts w:ascii="Arial" w:eastAsia="Arial" w:hAnsi="Arial" w:cs="Arial"/>
                <w:sz w:val="20"/>
                <w:szCs w:val="20"/>
              </w:rPr>
              <w:t>Procuraduría Ambiental y del Ordenamiento Territorial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4E3581E"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0B86245" w14:textId="77777777" w:rsidR="00067C34" w:rsidRDefault="00BA3CD1">
            <w:pPr>
              <w:jc w:val="right"/>
              <w:rPr>
                <w:rFonts w:ascii="Arial" w:eastAsia="Arial" w:hAnsi="Arial" w:cs="Arial"/>
                <w:sz w:val="20"/>
                <w:szCs w:val="20"/>
              </w:rPr>
            </w:pPr>
            <w:r>
              <w:rPr>
                <w:rFonts w:ascii="Arial" w:eastAsia="Arial" w:hAnsi="Arial" w:cs="Arial"/>
                <w:sz w:val="20"/>
                <w:szCs w:val="20"/>
              </w:rPr>
              <w:t>93.36</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C9ED612"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48744B0" w14:textId="77777777" w:rsidR="00067C34" w:rsidRDefault="00BA3CD1">
            <w:pPr>
              <w:jc w:val="right"/>
              <w:rPr>
                <w:rFonts w:ascii="Arial" w:eastAsia="Arial" w:hAnsi="Arial" w:cs="Arial"/>
                <w:sz w:val="20"/>
                <w:szCs w:val="20"/>
              </w:rPr>
            </w:pPr>
            <w:r>
              <w:rPr>
                <w:rFonts w:ascii="Arial" w:eastAsia="Arial" w:hAnsi="Arial" w:cs="Arial"/>
                <w:sz w:val="20"/>
                <w:szCs w:val="20"/>
              </w:rPr>
              <w:t>6.64</w:t>
            </w:r>
          </w:p>
        </w:tc>
      </w:tr>
      <w:tr w:rsidR="00067C34" w14:paraId="3993FEBA" w14:textId="77777777">
        <w:trPr>
          <w:trHeight w:val="66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7C6F2057" w14:textId="77777777" w:rsidR="00067C34" w:rsidRDefault="00BA3CD1">
            <w:pPr>
              <w:jc w:val="right"/>
              <w:rPr>
                <w:rFonts w:ascii="Arial" w:eastAsia="Arial" w:hAnsi="Arial" w:cs="Arial"/>
                <w:sz w:val="20"/>
                <w:szCs w:val="20"/>
              </w:rPr>
            </w:pPr>
            <w:r>
              <w:rPr>
                <w:rFonts w:ascii="Arial" w:eastAsia="Arial" w:hAnsi="Arial" w:cs="Arial"/>
                <w:sz w:val="20"/>
                <w:szCs w:val="20"/>
              </w:rPr>
              <w:t>18</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E38A815" w14:textId="77777777" w:rsidR="00067C34" w:rsidRDefault="00BA3CD1">
            <w:pPr>
              <w:jc w:val="both"/>
              <w:rPr>
                <w:rFonts w:ascii="Arial" w:eastAsia="Arial" w:hAnsi="Arial" w:cs="Arial"/>
                <w:sz w:val="20"/>
                <w:szCs w:val="20"/>
              </w:rPr>
            </w:pPr>
            <w:r>
              <w:rPr>
                <w:rFonts w:ascii="Arial" w:eastAsia="Arial" w:hAnsi="Arial" w:cs="Arial"/>
                <w:sz w:val="20"/>
                <w:szCs w:val="20"/>
              </w:rPr>
              <w:t>Secretaría de Educación, Ciencia, Tecnología e Innovación.</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E951ED8" w14:textId="77777777" w:rsidR="00067C34" w:rsidRDefault="00BA3CD1">
            <w:pPr>
              <w:jc w:val="both"/>
              <w:rPr>
                <w:rFonts w:ascii="Arial" w:eastAsia="Arial" w:hAnsi="Arial" w:cs="Arial"/>
                <w:sz w:val="20"/>
                <w:szCs w:val="20"/>
              </w:rPr>
            </w:pPr>
            <w:r>
              <w:rPr>
                <w:rFonts w:ascii="Arial" w:eastAsia="Arial" w:hAnsi="Arial" w:cs="Arial"/>
                <w:sz w:val="20"/>
                <w:szCs w:val="20"/>
              </w:rPr>
              <w:t>Administración Pública Central</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9CD2FEA" w14:textId="77777777" w:rsidR="00067C34" w:rsidRDefault="00BA3CD1">
            <w:pPr>
              <w:jc w:val="right"/>
              <w:rPr>
                <w:rFonts w:ascii="Arial" w:eastAsia="Arial" w:hAnsi="Arial" w:cs="Arial"/>
                <w:sz w:val="20"/>
                <w:szCs w:val="20"/>
              </w:rPr>
            </w:pPr>
            <w:r>
              <w:rPr>
                <w:rFonts w:ascii="Arial" w:eastAsia="Arial" w:hAnsi="Arial" w:cs="Arial"/>
                <w:sz w:val="20"/>
                <w:szCs w:val="20"/>
              </w:rPr>
              <w:t>92.82</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FB41020"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9DB9FF3" w14:textId="77777777" w:rsidR="00067C34" w:rsidRDefault="00BA3CD1">
            <w:pPr>
              <w:jc w:val="right"/>
              <w:rPr>
                <w:rFonts w:ascii="Arial" w:eastAsia="Arial" w:hAnsi="Arial" w:cs="Arial"/>
                <w:sz w:val="20"/>
                <w:szCs w:val="20"/>
              </w:rPr>
            </w:pPr>
            <w:r>
              <w:rPr>
                <w:rFonts w:ascii="Arial" w:eastAsia="Arial" w:hAnsi="Arial" w:cs="Arial"/>
                <w:sz w:val="20"/>
                <w:szCs w:val="20"/>
              </w:rPr>
              <w:t>7.18</w:t>
            </w:r>
          </w:p>
        </w:tc>
      </w:tr>
      <w:tr w:rsidR="00067C34" w14:paraId="3F9EEEF1"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7D9FEA0D" w14:textId="77777777" w:rsidR="00067C34" w:rsidRDefault="00BA3CD1">
            <w:pPr>
              <w:jc w:val="right"/>
              <w:rPr>
                <w:rFonts w:ascii="Arial" w:eastAsia="Arial" w:hAnsi="Arial" w:cs="Arial"/>
                <w:sz w:val="20"/>
                <w:szCs w:val="20"/>
              </w:rPr>
            </w:pPr>
            <w:r>
              <w:rPr>
                <w:rFonts w:ascii="Arial" w:eastAsia="Arial" w:hAnsi="Arial" w:cs="Arial"/>
                <w:sz w:val="20"/>
                <w:szCs w:val="20"/>
              </w:rPr>
              <w:t>19</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AE2F5AC" w14:textId="77777777" w:rsidR="00067C34" w:rsidRDefault="00BA3CD1">
            <w:pPr>
              <w:jc w:val="both"/>
              <w:rPr>
                <w:rFonts w:ascii="Arial" w:eastAsia="Arial" w:hAnsi="Arial" w:cs="Arial"/>
                <w:sz w:val="20"/>
                <w:szCs w:val="20"/>
              </w:rPr>
            </w:pPr>
            <w:r>
              <w:rPr>
                <w:rFonts w:ascii="Arial" w:eastAsia="Arial" w:hAnsi="Arial" w:cs="Arial"/>
                <w:sz w:val="20"/>
                <w:szCs w:val="20"/>
              </w:rPr>
              <w:t>Secretaría de Turismo.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FF7B88C" w14:textId="77777777" w:rsidR="00067C34" w:rsidRDefault="00BA3CD1">
            <w:pPr>
              <w:jc w:val="both"/>
              <w:rPr>
                <w:rFonts w:ascii="Arial" w:eastAsia="Arial" w:hAnsi="Arial" w:cs="Arial"/>
                <w:sz w:val="20"/>
                <w:szCs w:val="20"/>
              </w:rPr>
            </w:pPr>
            <w:r>
              <w:rPr>
                <w:rFonts w:ascii="Arial" w:eastAsia="Arial" w:hAnsi="Arial" w:cs="Arial"/>
                <w:sz w:val="20"/>
                <w:szCs w:val="20"/>
              </w:rPr>
              <w:t>Administración Pública Central</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D6FD6D0" w14:textId="77777777" w:rsidR="00067C34" w:rsidRDefault="00BA3CD1">
            <w:pPr>
              <w:jc w:val="right"/>
              <w:rPr>
                <w:rFonts w:ascii="Arial" w:eastAsia="Arial" w:hAnsi="Arial" w:cs="Arial"/>
                <w:sz w:val="20"/>
                <w:szCs w:val="20"/>
              </w:rPr>
            </w:pPr>
            <w:r>
              <w:rPr>
                <w:rFonts w:ascii="Arial" w:eastAsia="Arial" w:hAnsi="Arial" w:cs="Arial"/>
                <w:sz w:val="20"/>
                <w:szCs w:val="20"/>
              </w:rPr>
              <w:t>93.52</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6909819"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427A2D7" w14:textId="77777777" w:rsidR="00067C34" w:rsidRDefault="00BA3CD1">
            <w:pPr>
              <w:jc w:val="right"/>
              <w:rPr>
                <w:rFonts w:ascii="Arial" w:eastAsia="Arial" w:hAnsi="Arial" w:cs="Arial"/>
                <w:sz w:val="20"/>
                <w:szCs w:val="20"/>
              </w:rPr>
            </w:pPr>
            <w:r>
              <w:rPr>
                <w:rFonts w:ascii="Arial" w:eastAsia="Arial" w:hAnsi="Arial" w:cs="Arial"/>
                <w:sz w:val="20"/>
                <w:szCs w:val="20"/>
              </w:rPr>
              <w:t>6.48</w:t>
            </w:r>
          </w:p>
        </w:tc>
      </w:tr>
      <w:tr w:rsidR="00067C34" w14:paraId="123C3B2F"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F416F6A" w14:textId="77777777" w:rsidR="00067C34" w:rsidRDefault="00BA3CD1">
            <w:pPr>
              <w:jc w:val="right"/>
              <w:rPr>
                <w:rFonts w:ascii="Arial" w:eastAsia="Arial" w:hAnsi="Arial" w:cs="Arial"/>
                <w:sz w:val="20"/>
                <w:szCs w:val="20"/>
              </w:rPr>
            </w:pPr>
            <w:r>
              <w:rPr>
                <w:rFonts w:ascii="Arial" w:eastAsia="Arial" w:hAnsi="Arial" w:cs="Arial"/>
                <w:sz w:val="20"/>
                <w:szCs w:val="20"/>
              </w:rPr>
              <w:t>20</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C5C0383" w14:textId="77777777" w:rsidR="00067C34" w:rsidRDefault="00BA3CD1">
            <w:pPr>
              <w:jc w:val="both"/>
              <w:rPr>
                <w:rFonts w:ascii="Arial" w:eastAsia="Arial" w:hAnsi="Arial" w:cs="Arial"/>
                <w:sz w:val="20"/>
                <w:szCs w:val="20"/>
              </w:rPr>
            </w:pPr>
            <w:r>
              <w:rPr>
                <w:rFonts w:ascii="Arial" w:eastAsia="Arial" w:hAnsi="Arial" w:cs="Arial"/>
                <w:sz w:val="20"/>
                <w:szCs w:val="20"/>
              </w:rPr>
              <w:t>Sistema de Aguas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0FF6F71"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262F407" w14:textId="77777777" w:rsidR="00067C34" w:rsidRDefault="00BA3CD1">
            <w:pPr>
              <w:jc w:val="right"/>
              <w:rPr>
                <w:rFonts w:ascii="Arial" w:eastAsia="Arial" w:hAnsi="Arial" w:cs="Arial"/>
                <w:sz w:val="20"/>
                <w:szCs w:val="20"/>
              </w:rPr>
            </w:pPr>
            <w:r>
              <w:rPr>
                <w:rFonts w:ascii="Arial" w:eastAsia="Arial" w:hAnsi="Arial" w:cs="Arial"/>
                <w:sz w:val="20"/>
                <w:szCs w:val="20"/>
              </w:rPr>
              <w:t>96.46</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938904E" w14:textId="77777777" w:rsidR="00067C34" w:rsidRDefault="00BA3CD1">
            <w:pPr>
              <w:jc w:val="right"/>
              <w:rPr>
                <w:rFonts w:ascii="Arial" w:eastAsia="Arial" w:hAnsi="Arial" w:cs="Arial"/>
                <w:sz w:val="20"/>
                <w:szCs w:val="20"/>
              </w:rPr>
            </w:pPr>
            <w:r>
              <w:rPr>
                <w:rFonts w:ascii="Arial" w:eastAsia="Arial" w:hAnsi="Arial" w:cs="Arial"/>
                <w:sz w:val="20"/>
                <w:szCs w:val="20"/>
              </w:rPr>
              <w:t>100.00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A04B90F" w14:textId="77777777" w:rsidR="00067C34" w:rsidRDefault="00BA3CD1">
            <w:pPr>
              <w:jc w:val="right"/>
              <w:rPr>
                <w:rFonts w:ascii="Arial" w:eastAsia="Arial" w:hAnsi="Arial" w:cs="Arial"/>
                <w:sz w:val="20"/>
                <w:szCs w:val="20"/>
              </w:rPr>
            </w:pPr>
            <w:r>
              <w:rPr>
                <w:rFonts w:ascii="Arial" w:eastAsia="Arial" w:hAnsi="Arial" w:cs="Arial"/>
                <w:sz w:val="20"/>
                <w:szCs w:val="20"/>
              </w:rPr>
              <w:t>3.54</w:t>
            </w:r>
          </w:p>
        </w:tc>
      </w:tr>
      <w:tr w:rsidR="00067C34" w14:paraId="2F6E303C"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BB73F89" w14:textId="77777777" w:rsidR="00067C34" w:rsidRDefault="00BA3CD1">
            <w:pPr>
              <w:jc w:val="right"/>
              <w:rPr>
                <w:rFonts w:ascii="Arial" w:eastAsia="Arial" w:hAnsi="Arial" w:cs="Arial"/>
                <w:sz w:val="20"/>
                <w:szCs w:val="20"/>
              </w:rPr>
            </w:pPr>
            <w:r>
              <w:rPr>
                <w:rFonts w:ascii="Arial" w:eastAsia="Arial" w:hAnsi="Arial" w:cs="Arial"/>
                <w:sz w:val="20"/>
                <w:szCs w:val="20"/>
              </w:rPr>
              <w:t>21</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00D2CDC" w14:textId="77777777" w:rsidR="00067C34" w:rsidRDefault="00BA3CD1">
            <w:pPr>
              <w:jc w:val="both"/>
              <w:rPr>
                <w:rFonts w:ascii="Arial" w:eastAsia="Arial" w:hAnsi="Arial" w:cs="Arial"/>
                <w:sz w:val="20"/>
                <w:szCs w:val="20"/>
              </w:rPr>
            </w:pPr>
            <w:r>
              <w:rPr>
                <w:rFonts w:ascii="Arial" w:eastAsia="Arial" w:hAnsi="Arial" w:cs="Arial"/>
                <w:sz w:val="20"/>
                <w:szCs w:val="20"/>
              </w:rPr>
              <w:t>Policía Bancaria e Industrial.</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47EAF58"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B197806" w14:textId="77777777" w:rsidR="00067C34" w:rsidRDefault="00BA3CD1">
            <w:pPr>
              <w:jc w:val="right"/>
              <w:rPr>
                <w:rFonts w:ascii="Arial" w:eastAsia="Arial" w:hAnsi="Arial" w:cs="Arial"/>
                <w:sz w:val="20"/>
                <w:szCs w:val="20"/>
              </w:rPr>
            </w:pPr>
            <w:r>
              <w:rPr>
                <w:rFonts w:ascii="Arial" w:eastAsia="Arial" w:hAnsi="Arial" w:cs="Arial"/>
                <w:sz w:val="20"/>
                <w:szCs w:val="20"/>
              </w:rPr>
              <w:t>77.73</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B1E225E" w14:textId="77777777" w:rsidR="00067C34" w:rsidRDefault="00BA3CD1">
            <w:pPr>
              <w:jc w:val="right"/>
              <w:rPr>
                <w:rFonts w:ascii="Arial" w:eastAsia="Arial" w:hAnsi="Arial" w:cs="Arial"/>
                <w:sz w:val="20"/>
                <w:szCs w:val="20"/>
              </w:rPr>
            </w:pPr>
            <w:r>
              <w:rPr>
                <w:rFonts w:ascii="Arial" w:eastAsia="Arial" w:hAnsi="Arial" w:cs="Arial"/>
                <w:sz w:val="20"/>
                <w:szCs w:val="20"/>
              </w:rPr>
              <w:t>99.89</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E196615" w14:textId="77777777" w:rsidR="00067C34" w:rsidRDefault="00BA3CD1">
            <w:pPr>
              <w:jc w:val="right"/>
              <w:rPr>
                <w:rFonts w:ascii="Arial" w:eastAsia="Arial" w:hAnsi="Arial" w:cs="Arial"/>
                <w:sz w:val="20"/>
                <w:szCs w:val="20"/>
              </w:rPr>
            </w:pPr>
            <w:r>
              <w:rPr>
                <w:rFonts w:ascii="Arial" w:eastAsia="Arial" w:hAnsi="Arial" w:cs="Arial"/>
                <w:sz w:val="20"/>
                <w:szCs w:val="20"/>
              </w:rPr>
              <w:t>22.16</w:t>
            </w:r>
          </w:p>
        </w:tc>
      </w:tr>
      <w:tr w:rsidR="00067C34" w14:paraId="2F9D7CE0" w14:textId="77777777">
        <w:trPr>
          <w:trHeight w:val="66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13D4A56" w14:textId="77777777" w:rsidR="00067C34" w:rsidRDefault="00BA3CD1">
            <w:pPr>
              <w:jc w:val="right"/>
              <w:rPr>
                <w:rFonts w:ascii="Arial" w:eastAsia="Arial" w:hAnsi="Arial" w:cs="Arial"/>
                <w:sz w:val="20"/>
                <w:szCs w:val="20"/>
              </w:rPr>
            </w:pPr>
            <w:r>
              <w:rPr>
                <w:rFonts w:ascii="Arial" w:eastAsia="Arial" w:hAnsi="Arial" w:cs="Arial"/>
                <w:sz w:val="20"/>
                <w:szCs w:val="20"/>
              </w:rPr>
              <w:t>22</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759853C" w14:textId="77777777" w:rsidR="00067C34" w:rsidRDefault="00BA3CD1">
            <w:pPr>
              <w:jc w:val="both"/>
              <w:rPr>
                <w:rFonts w:ascii="Arial" w:eastAsia="Arial" w:hAnsi="Arial" w:cs="Arial"/>
                <w:sz w:val="20"/>
                <w:szCs w:val="20"/>
              </w:rPr>
            </w:pPr>
            <w:r>
              <w:rPr>
                <w:rFonts w:ascii="Arial" w:eastAsia="Arial" w:hAnsi="Arial" w:cs="Arial"/>
                <w:sz w:val="20"/>
                <w:szCs w:val="20"/>
              </w:rPr>
              <w:t>Tribunal Superior de Justicia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05906EB" w14:textId="77777777" w:rsidR="00067C34" w:rsidRDefault="00BA3CD1">
            <w:pPr>
              <w:jc w:val="both"/>
              <w:rPr>
                <w:rFonts w:ascii="Arial" w:eastAsia="Arial" w:hAnsi="Arial" w:cs="Arial"/>
                <w:sz w:val="20"/>
                <w:szCs w:val="20"/>
              </w:rPr>
            </w:pPr>
            <w:r>
              <w:rPr>
                <w:rFonts w:ascii="Arial" w:eastAsia="Arial" w:hAnsi="Arial" w:cs="Arial"/>
                <w:sz w:val="20"/>
                <w:szCs w:val="20"/>
              </w:rPr>
              <w:t>Poder Judicial</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26B4115" w14:textId="77777777" w:rsidR="00067C34" w:rsidRDefault="00BA3CD1">
            <w:pPr>
              <w:jc w:val="right"/>
              <w:rPr>
                <w:rFonts w:ascii="Arial" w:eastAsia="Arial" w:hAnsi="Arial" w:cs="Arial"/>
                <w:sz w:val="20"/>
                <w:szCs w:val="20"/>
              </w:rPr>
            </w:pPr>
            <w:r>
              <w:rPr>
                <w:rFonts w:ascii="Arial" w:eastAsia="Arial" w:hAnsi="Arial" w:cs="Arial"/>
                <w:sz w:val="20"/>
                <w:szCs w:val="20"/>
              </w:rPr>
              <w:t>97.75</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7ACA90E" w14:textId="77777777" w:rsidR="00067C34" w:rsidRDefault="00BA3CD1">
            <w:pPr>
              <w:jc w:val="right"/>
              <w:rPr>
                <w:rFonts w:ascii="Arial" w:eastAsia="Arial" w:hAnsi="Arial" w:cs="Arial"/>
                <w:sz w:val="20"/>
                <w:szCs w:val="20"/>
              </w:rPr>
            </w:pPr>
            <w:r>
              <w:rPr>
                <w:rFonts w:ascii="Arial" w:eastAsia="Arial" w:hAnsi="Arial" w:cs="Arial"/>
                <w:sz w:val="20"/>
                <w:szCs w:val="20"/>
              </w:rPr>
              <w:t>99.51</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5DE638A" w14:textId="77777777" w:rsidR="00067C34" w:rsidRDefault="00BA3CD1">
            <w:pPr>
              <w:jc w:val="right"/>
              <w:rPr>
                <w:rFonts w:ascii="Arial" w:eastAsia="Arial" w:hAnsi="Arial" w:cs="Arial"/>
                <w:sz w:val="20"/>
                <w:szCs w:val="20"/>
              </w:rPr>
            </w:pPr>
            <w:r>
              <w:rPr>
                <w:rFonts w:ascii="Arial" w:eastAsia="Arial" w:hAnsi="Arial" w:cs="Arial"/>
                <w:sz w:val="20"/>
                <w:szCs w:val="20"/>
              </w:rPr>
              <w:t>1.76</w:t>
            </w:r>
          </w:p>
        </w:tc>
      </w:tr>
      <w:tr w:rsidR="00067C34" w14:paraId="03D384FD"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7CC6BC0" w14:textId="77777777" w:rsidR="00067C34" w:rsidRDefault="00BA3CD1">
            <w:pPr>
              <w:jc w:val="right"/>
              <w:rPr>
                <w:rFonts w:ascii="Arial" w:eastAsia="Arial" w:hAnsi="Arial" w:cs="Arial"/>
                <w:sz w:val="20"/>
                <w:szCs w:val="20"/>
              </w:rPr>
            </w:pPr>
            <w:r>
              <w:rPr>
                <w:rFonts w:ascii="Arial" w:eastAsia="Arial" w:hAnsi="Arial" w:cs="Arial"/>
                <w:sz w:val="20"/>
                <w:szCs w:val="20"/>
              </w:rPr>
              <w:t>23</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84E7E71" w14:textId="77777777" w:rsidR="00067C34" w:rsidRDefault="00BA3CD1">
            <w:pPr>
              <w:jc w:val="both"/>
              <w:rPr>
                <w:rFonts w:ascii="Arial" w:eastAsia="Arial" w:hAnsi="Arial" w:cs="Arial"/>
                <w:sz w:val="20"/>
                <w:szCs w:val="20"/>
              </w:rPr>
            </w:pPr>
            <w:r>
              <w:rPr>
                <w:rFonts w:ascii="Arial" w:eastAsia="Arial" w:hAnsi="Arial" w:cs="Arial"/>
                <w:sz w:val="20"/>
                <w:szCs w:val="20"/>
              </w:rPr>
              <w:t>Junta de Asistencia Privada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65578C9"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80798A6" w14:textId="77777777" w:rsidR="00067C34" w:rsidRDefault="00BA3CD1">
            <w:pPr>
              <w:jc w:val="right"/>
              <w:rPr>
                <w:rFonts w:ascii="Arial" w:eastAsia="Arial" w:hAnsi="Arial" w:cs="Arial"/>
                <w:sz w:val="20"/>
                <w:szCs w:val="20"/>
              </w:rPr>
            </w:pPr>
            <w:r>
              <w:rPr>
                <w:rFonts w:ascii="Arial" w:eastAsia="Arial" w:hAnsi="Arial" w:cs="Arial"/>
                <w:sz w:val="20"/>
                <w:szCs w:val="20"/>
              </w:rPr>
              <w:t>65.12</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6780C25" w14:textId="77777777" w:rsidR="00067C34" w:rsidRDefault="00BA3CD1">
            <w:pPr>
              <w:jc w:val="right"/>
              <w:rPr>
                <w:rFonts w:ascii="Arial" w:eastAsia="Arial" w:hAnsi="Arial" w:cs="Arial"/>
                <w:sz w:val="20"/>
                <w:szCs w:val="20"/>
              </w:rPr>
            </w:pPr>
            <w:r>
              <w:rPr>
                <w:rFonts w:ascii="Arial" w:eastAsia="Arial" w:hAnsi="Arial" w:cs="Arial"/>
                <w:sz w:val="20"/>
                <w:szCs w:val="20"/>
              </w:rPr>
              <w:t>99.15</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676BA3D" w14:textId="77777777" w:rsidR="00067C34" w:rsidRDefault="00BA3CD1">
            <w:pPr>
              <w:jc w:val="right"/>
              <w:rPr>
                <w:rFonts w:ascii="Arial" w:eastAsia="Arial" w:hAnsi="Arial" w:cs="Arial"/>
                <w:sz w:val="20"/>
                <w:szCs w:val="20"/>
              </w:rPr>
            </w:pPr>
            <w:r>
              <w:rPr>
                <w:rFonts w:ascii="Arial" w:eastAsia="Arial" w:hAnsi="Arial" w:cs="Arial"/>
                <w:sz w:val="20"/>
                <w:szCs w:val="20"/>
              </w:rPr>
              <w:t>34.03</w:t>
            </w:r>
          </w:p>
        </w:tc>
      </w:tr>
      <w:tr w:rsidR="00067C34" w14:paraId="59BAB1B5"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4A194AE" w14:textId="77777777" w:rsidR="00067C34" w:rsidRDefault="00BA3CD1">
            <w:pPr>
              <w:jc w:val="right"/>
              <w:rPr>
                <w:rFonts w:ascii="Arial" w:eastAsia="Arial" w:hAnsi="Arial" w:cs="Arial"/>
                <w:sz w:val="20"/>
                <w:szCs w:val="20"/>
              </w:rPr>
            </w:pPr>
            <w:r>
              <w:rPr>
                <w:rFonts w:ascii="Arial" w:eastAsia="Arial" w:hAnsi="Arial" w:cs="Arial"/>
                <w:sz w:val="20"/>
                <w:szCs w:val="20"/>
              </w:rPr>
              <w:t>24</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5D1CEF3" w14:textId="77777777" w:rsidR="00067C34" w:rsidRDefault="00BA3CD1">
            <w:pPr>
              <w:jc w:val="both"/>
              <w:rPr>
                <w:rFonts w:ascii="Arial" w:eastAsia="Arial" w:hAnsi="Arial" w:cs="Arial"/>
                <w:sz w:val="20"/>
                <w:szCs w:val="20"/>
              </w:rPr>
            </w:pPr>
            <w:r>
              <w:rPr>
                <w:rFonts w:ascii="Arial" w:eastAsia="Arial" w:hAnsi="Arial" w:cs="Arial"/>
                <w:sz w:val="20"/>
                <w:szCs w:val="20"/>
              </w:rPr>
              <w:t>Consejo de Evaluación del Desarrollo Social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CFCFDCA"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0A13375" w14:textId="77777777" w:rsidR="00067C34" w:rsidRDefault="00BA3CD1">
            <w:pPr>
              <w:jc w:val="right"/>
              <w:rPr>
                <w:rFonts w:ascii="Arial" w:eastAsia="Arial" w:hAnsi="Arial" w:cs="Arial"/>
                <w:sz w:val="20"/>
                <w:szCs w:val="20"/>
              </w:rPr>
            </w:pPr>
            <w:r>
              <w:rPr>
                <w:rFonts w:ascii="Arial" w:eastAsia="Arial" w:hAnsi="Arial" w:cs="Arial"/>
                <w:sz w:val="20"/>
                <w:szCs w:val="20"/>
              </w:rPr>
              <w:t>77.92</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33FD9C3" w14:textId="77777777" w:rsidR="00067C34" w:rsidRDefault="00BA3CD1">
            <w:pPr>
              <w:jc w:val="right"/>
              <w:rPr>
                <w:rFonts w:ascii="Arial" w:eastAsia="Arial" w:hAnsi="Arial" w:cs="Arial"/>
                <w:sz w:val="20"/>
                <w:szCs w:val="20"/>
              </w:rPr>
            </w:pPr>
            <w:r>
              <w:rPr>
                <w:rFonts w:ascii="Arial" w:eastAsia="Arial" w:hAnsi="Arial" w:cs="Arial"/>
                <w:sz w:val="20"/>
                <w:szCs w:val="20"/>
              </w:rPr>
              <w:t>98.95</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391C18B" w14:textId="77777777" w:rsidR="00067C34" w:rsidRDefault="00BA3CD1">
            <w:pPr>
              <w:jc w:val="right"/>
              <w:rPr>
                <w:rFonts w:ascii="Arial" w:eastAsia="Arial" w:hAnsi="Arial" w:cs="Arial"/>
                <w:sz w:val="20"/>
                <w:szCs w:val="20"/>
              </w:rPr>
            </w:pPr>
            <w:r>
              <w:rPr>
                <w:rFonts w:ascii="Arial" w:eastAsia="Arial" w:hAnsi="Arial" w:cs="Arial"/>
                <w:sz w:val="20"/>
                <w:szCs w:val="20"/>
              </w:rPr>
              <w:t>21.04</w:t>
            </w:r>
          </w:p>
        </w:tc>
      </w:tr>
      <w:tr w:rsidR="00067C34" w14:paraId="051161D7"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A406024" w14:textId="77777777" w:rsidR="00067C34" w:rsidRDefault="00BA3CD1">
            <w:pPr>
              <w:jc w:val="right"/>
              <w:rPr>
                <w:rFonts w:ascii="Arial" w:eastAsia="Arial" w:hAnsi="Arial" w:cs="Arial"/>
                <w:sz w:val="20"/>
                <w:szCs w:val="20"/>
              </w:rPr>
            </w:pPr>
            <w:r>
              <w:rPr>
                <w:rFonts w:ascii="Arial" w:eastAsia="Arial" w:hAnsi="Arial" w:cs="Arial"/>
                <w:sz w:val="20"/>
                <w:szCs w:val="20"/>
              </w:rPr>
              <w:t>25</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2B53ACA" w14:textId="77777777" w:rsidR="00067C34" w:rsidRDefault="00BA3CD1">
            <w:pPr>
              <w:jc w:val="both"/>
              <w:rPr>
                <w:rFonts w:ascii="Arial" w:eastAsia="Arial" w:hAnsi="Arial" w:cs="Arial"/>
                <w:sz w:val="20"/>
                <w:szCs w:val="20"/>
              </w:rPr>
            </w:pPr>
            <w:r>
              <w:rPr>
                <w:rFonts w:ascii="Arial" w:eastAsia="Arial" w:hAnsi="Arial" w:cs="Arial"/>
                <w:sz w:val="20"/>
                <w:szCs w:val="20"/>
              </w:rPr>
              <w:t>Fondo Ambiental Público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D9D3EEF"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48431B6" w14:textId="77777777" w:rsidR="00067C34" w:rsidRDefault="00BA3CD1">
            <w:pPr>
              <w:jc w:val="right"/>
              <w:rPr>
                <w:rFonts w:ascii="Arial" w:eastAsia="Arial" w:hAnsi="Arial" w:cs="Arial"/>
                <w:sz w:val="20"/>
                <w:szCs w:val="20"/>
              </w:rPr>
            </w:pPr>
            <w:r>
              <w:rPr>
                <w:rFonts w:ascii="Arial" w:eastAsia="Arial" w:hAnsi="Arial" w:cs="Arial"/>
                <w:sz w:val="20"/>
                <w:szCs w:val="20"/>
              </w:rPr>
              <w:t>93.41</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E73F99E" w14:textId="77777777" w:rsidR="00067C34" w:rsidRDefault="00BA3CD1">
            <w:pPr>
              <w:jc w:val="right"/>
              <w:rPr>
                <w:rFonts w:ascii="Arial" w:eastAsia="Arial" w:hAnsi="Arial" w:cs="Arial"/>
                <w:sz w:val="20"/>
                <w:szCs w:val="20"/>
              </w:rPr>
            </w:pPr>
            <w:r>
              <w:rPr>
                <w:rFonts w:ascii="Arial" w:eastAsia="Arial" w:hAnsi="Arial" w:cs="Arial"/>
                <w:sz w:val="20"/>
                <w:szCs w:val="20"/>
              </w:rPr>
              <w:t>98.91</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23C0ED1" w14:textId="77777777" w:rsidR="00067C34" w:rsidRDefault="00BA3CD1">
            <w:pPr>
              <w:jc w:val="right"/>
              <w:rPr>
                <w:rFonts w:ascii="Arial" w:eastAsia="Arial" w:hAnsi="Arial" w:cs="Arial"/>
                <w:sz w:val="20"/>
                <w:szCs w:val="20"/>
              </w:rPr>
            </w:pPr>
            <w:r>
              <w:rPr>
                <w:rFonts w:ascii="Arial" w:eastAsia="Arial" w:hAnsi="Arial" w:cs="Arial"/>
                <w:sz w:val="20"/>
                <w:szCs w:val="20"/>
              </w:rPr>
              <w:t>5.50</w:t>
            </w:r>
          </w:p>
        </w:tc>
      </w:tr>
      <w:tr w:rsidR="00067C34" w14:paraId="56EFE9BA"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6E3169A" w14:textId="77777777" w:rsidR="00067C34" w:rsidRDefault="00BA3CD1">
            <w:pPr>
              <w:jc w:val="right"/>
              <w:rPr>
                <w:rFonts w:ascii="Arial" w:eastAsia="Arial" w:hAnsi="Arial" w:cs="Arial"/>
                <w:sz w:val="20"/>
                <w:szCs w:val="20"/>
              </w:rPr>
            </w:pPr>
            <w:r>
              <w:rPr>
                <w:rFonts w:ascii="Arial" w:eastAsia="Arial" w:hAnsi="Arial" w:cs="Arial"/>
                <w:sz w:val="20"/>
                <w:szCs w:val="20"/>
              </w:rPr>
              <w:t>26</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0E6CCD7" w14:textId="77777777" w:rsidR="00067C34" w:rsidRDefault="00BA3CD1">
            <w:pPr>
              <w:jc w:val="both"/>
              <w:rPr>
                <w:rFonts w:ascii="Arial" w:eastAsia="Arial" w:hAnsi="Arial" w:cs="Arial"/>
                <w:sz w:val="20"/>
                <w:szCs w:val="20"/>
              </w:rPr>
            </w:pPr>
            <w:r>
              <w:rPr>
                <w:rFonts w:ascii="Arial" w:eastAsia="Arial" w:hAnsi="Arial" w:cs="Arial"/>
                <w:sz w:val="20"/>
                <w:szCs w:val="20"/>
              </w:rPr>
              <w:t>Corporación Mexicana de Impresión, S.A. de C.V.</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14D251A"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7953DD9" w14:textId="77777777" w:rsidR="00067C34" w:rsidRDefault="00BA3CD1">
            <w:pPr>
              <w:jc w:val="right"/>
              <w:rPr>
                <w:rFonts w:ascii="Arial" w:eastAsia="Arial" w:hAnsi="Arial" w:cs="Arial"/>
                <w:sz w:val="20"/>
                <w:szCs w:val="20"/>
              </w:rPr>
            </w:pPr>
            <w:r>
              <w:rPr>
                <w:rFonts w:ascii="Arial" w:eastAsia="Arial" w:hAnsi="Arial" w:cs="Arial"/>
                <w:sz w:val="20"/>
                <w:szCs w:val="20"/>
              </w:rPr>
              <w:t>81.18</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3727AC9" w14:textId="77777777" w:rsidR="00067C34" w:rsidRDefault="00BA3CD1">
            <w:pPr>
              <w:jc w:val="right"/>
              <w:rPr>
                <w:rFonts w:ascii="Arial" w:eastAsia="Arial" w:hAnsi="Arial" w:cs="Arial"/>
                <w:sz w:val="20"/>
                <w:szCs w:val="20"/>
              </w:rPr>
            </w:pPr>
            <w:r>
              <w:rPr>
                <w:rFonts w:ascii="Arial" w:eastAsia="Arial" w:hAnsi="Arial" w:cs="Arial"/>
                <w:sz w:val="20"/>
                <w:szCs w:val="20"/>
              </w:rPr>
              <w:t>96.38</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9DD3967" w14:textId="77777777" w:rsidR="00067C34" w:rsidRDefault="00BA3CD1">
            <w:pPr>
              <w:jc w:val="right"/>
              <w:rPr>
                <w:rFonts w:ascii="Arial" w:eastAsia="Arial" w:hAnsi="Arial" w:cs="Arial"/>
                <w:sz w:val="20"/>
                <w:szCs w:val="20"/>
              </w:rPr>
            </w:pPr>
            <w:r>
              <w:rPr>
                <w:rFonts w:ascii="Arial" w:eastAsia="Arial" w:hAnsi="Arial" w:cs="Arial"/>
                <w:sz w:val="20"/>
                <w:szCs w:val="20"/>
              </w:rPr>
              <w:t>15.20</w:t>
            </w:r>
          </w:p>
        </w:tc>
      </w:tr>
      <w:tr w:rsidR="00067C34" w14:paraId="674F51E3"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CE65F15" w14:textId="77777777" w:rsidR="00067C34" w:rsidRDefault="00BA3CD1">
            <w:pPr>
              <w:jc w:val="right"/>
              <w:rPr>
                <w:rFonts w:ascii="Arial" w:eastAsia="Arial" w:hAnsi="Arial" w:cs="Arial"/>
                <w:sz w:val="20"/>
                <w:szCs w:val="20"/>
              </w:rPr>
            </w:pPr>
            <w:r>
              <w:rPr>
                <w:rFonts w:ascii="Arial" w:eastAsia="Arial" w:hAnsi="Arial" w:cs="Arial"/>
                <w:sz w:val="20"/>
                <w:szCs w:val="20"/>
              </w:rPr>
              <w:t>27</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CDA92A7" w14:textId="77777777" w:rsidR="00067C34" w:rsidRDefault="00BA3CD1">
            <w:pPr>
              <w:jc w:val="both"/>
              <w:rPr>
                <w:rFonts w:ascii="Arial" w:eastAsia="Arial" w:hAnsi="Arial" w:cs="Arial"/>
                <w:sz w:val="20"/>
                <w:szCs w:val="20"/>
              </w:rPr>
            </w:pPr>
            <w:r>
              <w:rPr>
                <w:rFonts w:ascii="Arial" w:eastAsia="Arial" w:hAnsi="Arial" w:cs="Arial"/>
                <w:sz w:val="20"/>
                <w:szCs w:val="20"/>
              </w:rPr>
              <w:t>Órgano Regulador de Transporte.</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838EB55"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AA8ED7A" w14:textId="77777777" w:rsidR="00067C34" w:rsidRDefault="00BA3CD1">
            <w:pPr>
              <w:jc w:val="right"/>
              <w:rPr>
                <w:rFonts w:ascii="Arial" w:eastAsia="Arial" w:hAnsi="Arial" w:cs="Arial"/>
                <w:sz w:val="20"/>
                <w:szCs w:val="20"/>
              </w:rPr>
            </w:pPr>
            <w:r>
              <w:rPr>
                <w:rFonts w:ascii="Arial" w:eastAsia="Arial" w:hAnsi="Arial" w:cs="Arial"/>
                <w:sz w:val="20"/>
                <w:szCs w:val="20"/>
              </w:rPr>
              <w:t>76.79</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DAB33BE" w14:textId="77777777" w:rsidR="00067C34" w:rsidRDefault="00BA3CD1">
            <w:pPr>
              <w:jc w:val="right"/>
              <w:rPr>
                <w:rFonts w:ascii="Arial" w:eastAsia="Arial" w:hAnsi="Arial" w:cs="Arial"/>
                <w:sz w:val="20"/>
                <w:szCs w:val="20"/>
              </w:rPr>
            </w:pPr>
            <w:r>
              <w:rPr>
                <w:rFonts w:ascii="Arial" w:eastAsia="Arial" w:hAnsi="Arial" w:cs="Arial"/>
                <w:sz w:val="20"/>
                <w:szCs w:val="20"/>
              </w:rPr>
              <w:t>95.80</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BECD25F" w14:textId="77777777" w:rsidR="00067C34" w:rsidRDefault="00BA3CD1">
            <w:pPr>
              <w:jc w:val="right"/>
              <w:rPr>
                <w:rFonts w:ascii="Arial" w:eastAsia="Arial" w:hAnsi="Arial" w:cs="Arial"/>
                <w:sz w:val="20"/>
                <w:szCs w:val="20"/>
              </w:rPr>
            </w:pPr>
            <w:r>
              <w:rPr>
                <w:rFonts w:ascii="Arial" w:eastAsia="Arial" w:hAnsi="Arial" w:cs="Arial"/>
                <w:sz w:val="20"/>
                <w:szCs w:val="20"/>
              </w:rPr>
              <w:t>19.01</w:t>
            </w:r>
          </w:p>
        </w:tc>
      </w:tr>
      <w:tr w:rsidR="00067C34" w14:paraId="525D7CA1"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9056753" w14:textId="77777777" w:rsidR="00067C34" w:rsidRDefault="00BA3CD1">
            <w:pPr>
              <w:jc w:val="right"/>
              <w:rPr>
                <w:rFonts w:ascii="Arial" w:eastAsia="Arial" w:hAnsi="Arial" w:cs="Arial"/>
                <w:sz w:val="20"/>
                <w:szCs w:val="20"/>
              </w:rPr>
            </w:pPr>
            <w:r>
              <w:rPr>
                <w:rFonts w:ascii="Arial" w:eastAsia="Arial" w:hAnsi="Arial" w:cs="Arial"/>
                <w:sz w:val="20"/>
                <w:szCs w:val="20"/>
              </w:rPr>
              <w:t>28</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F59D0A5" w14:textId="77777777" w:rsidR="00067C34" w:rsidRDefault="00BA3CD1">
            <w:pPr>
              <w:jc w:val="both"/>
              <w:rPr>
                <w:rFonts w:ascii="Arial" w:eastAsia="Arial" w:hAnsi="Arial" w:cs="Arial"/>
                <w:sz w:val="20"/>
                <w:szCs w:val="20"/>
              </w:rPr>
            </w:pPr>
            <w:r>
              <w:rPr>
                <w:rFonts w:ascii="Arial" w:eastAsia="Arial" w:hAnsi="Arial" w:cs="Arial"/>
                <w:sz w:val="20"/>
                <w:szCs w:val="20"/>
              </w:rPr>
              <w:t>Fondo de Desarrollo Económico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3A5F63A"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0E3CFF6" w14:textId="77777777" w:rsidR="00067C34" w:rsidRDefault="00BA3CD1">
            <w:pPr>
              <w:jc w:val="right"/>
              <w:rPr>
                <w:rFonts w:ascii="Arial" w:eastAsia="Arial" w:hAnsi="Arial" w:cs="Arial"/>
                <w:sz w:val="20"/>
                <w:szCs w:val="20"/>
              </w:rPr>
            </w:pPr>
            <w:r>
              <w:rPr>
                <w:rFonts w:ascii="Arial" w:eastAsia="Arial" w:hAnsi="Arial" w:cs="Arial"/>
                <w:sz w:val="20"/>
                <w:szCs w:val="20"/>
              </w:rPr>
              <w:t>83.16</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0EADCF63" w14:textId="77777777" w:rsidR="00067C34" w:rsidRDefault="00BA3CD1">
            <w:pPr>
              <w:jc w:val="right"/>
              <w:rPr>
                <w:rFonts w:ascii="Arial" w:eastAsia="Arial" w:hAnsi="Arial" w:cs="Arial"/>
                <w:sz w:val="20"/>
                <w:szCs w:val="20"/>
              </w:rPr>
            </w:pPr>
            <w:r>
              <w:rPr>
                <w:rFonts w:ascii="Arial" w:eastAsia="Arial" w:hAnsi="Arial" w:cs="Arial"/>
                <w:sz w:val="20"/>
                <w:szCs w:val="20"/>
              </w:rPr>
              <w:t>95.18</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CF9B33A" w14:textId="77777777" w:rsidR="00067C34" w:rsidRDefault="00BA3CD1">
            <w:pPr>
              <w:jc w:val="right"/>
              <w:rPr>
                <w:rFonts w:ascii="Arial" w:eastAsia="Arial" w:hAnsi="Arial" w:cs="Arial"/>
                <w:sz w:val="20"/>
                <w:szCs w:val="20"/>
              </w:rPr>
            </w:pPr>
            <w:r>
              <w:rPr>
                <w:rFonts w:ascii="Arial" w:eastAsia="Arial" w:hAnsi="Arial" w:cs="Arial"/>
                <w:sz w:val="20"/>
                <w:szCs w:val="20"/>
              </w:rPr>
              <w:t>12.02</w:t>
            </w:r>
          </w:p>
        </w:tc>
      </w:tr>
      <w:tr w:rsidR="00067C34" w14:paraId="7BC0365B" w14:textId="77777777">
        <w:trPr>
          <w:trHeight w:val="48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7830E0B" w14:textId="77777777" w:rsidR="00067C34" w:rsidRDefault="00BA3CD1">
            <w:pPr>
              <w:jc w:val="right"/>
              <w:rPr>
                <w:rFonts w:ascii="Arial" w:eastAsia="Arial" w:hAnsi="Arial" w:cs="Arial"/>
                <w:sz w:val="20"/>
                <w:szCs w:val="20"/>
              </w:rPr>
            </w:pPr>
            <w:r>
              <w:rPr>
                <w:rFonts w:ascii="Arial" w:eastAsia="Arial" w:hAnsi="Arial" w:cs="Arial"/>
                <w:sz w:val="20"/>
                <w:szCs w:val="20"/>
              </w:rPr>
              <w:t>29</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9BEA8DE" w14:textId="77777777" w:rsidR="00067C34" w:rsidRDefault="00BA3CD1">
            <w:pPr>
              <w:jc w:val="both"/>
              <w:rPr>
                <w:rFonts w:ascii="Arial" w:eastAsia="Arial" w:hAnsi="Arial" w:cs="Arial"/>
                <w:sz w:val="20"/>
                <w:szCs w:val="20"/>
              </w:rPr>
            </w:pPr>
            <w:r>
              <w:rPr>
                <w:rFonts w:ascii="Arial" w:eastAsia="Arial" w:hAnsi="Arial" w:cs="Arial"/>
                <w:sz w:val="20"/>
                <w:szCs w:val="20"/>
              </w:rPr>
              <w:t>Alcaldía Álvaro Obregón.</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12612392" w14:textId="77777777" w:rsidR="00067C34" w:rsidRDefault="00BA3CD1">
            <w:pPr>
              <w:jc w:val="both"/>
              <w:rPr>
                <w:rFonts w:ascii="Arial" w:eastAsia="Arial" w:hAnsi="Arial" w:cs="Arial"/>
                <w:sz w:val="20"/>
                <w:szCs w:val="20"/>
              </w:rPr>
            </w:pPr>
            <w:r>
              <w:rPr>
                <w:rFonts w:ascii="Arial" w:eastAsia="Arial" w:hAnsi="Arial" w:cs="Arial"/>
                <w:sz w:val="20"/>
                <w:szCs w:val="20"/>
              </w:rPr>
              <w:t>Alcaldías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39E4020" w14:textId="77777777" w:rsidR="00067C34" w:rsidRDefault="00BA3CD1">
            <w:pPr>
              <w:jc w:val="right"/>
              <w:rPr>
                <w:rFonts w:ascii="Arial" w:eastAsia="Arial" w:hAnsi="Arial" w:cs="Arial"/>
                <w:sz w:val="20"/>
                <w:szCs w:val="20"/>
              </w:rPr>
            </w:pPr>
            <w:r>
              <w:rPr>
                <w:rFonts w:ascii="Arial" w:eastAsia="Arial" w:hAnsi="Arial" w:cs="Arial"/>
                <w:sz w:val="20"/>
                <w:szCs w:val="20"/>
              </w:rPr>
              <w:t>87.70</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90EEC48" w14:textId="77777777" w:rsidR="00067C34" w:rsidRDefault="00BA3CD1">
            <w:pPr>
              <w:jc w:val="right"/>
              <w:rPr>
                <w:rFonts w:ascii="Arial" w:eastAsia="Arial" w:hAnsi="Arial" w:cs="Arial"/>
                <w:sz w:val="20"/>
                <w:szCs w:val="20"/>
              </w:rPr>
            </w:pPr>
            <w:r>
              <w:rPr>
                <w:rFonts w:ascii="Arial" w:eastAsia="Arial" w:hAnsi="Arial" w:cs="Arial"/>
                <w:sz w:val="20"/>
                <w:szCs w:val="20"/>
              </w:rPr>
              <w:t>94.61</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C8B6C23" w14:textId="77777777" w:rsidR="00067C34" w:rsidRDefault="00BA3CD1">
            <w:pPr>
              <w:jc w:val="right"/>
              <w:rPr>
                <w:rFonts w:ascii="Arial" w:eastAsia="Arial" w:hAnsi="Arial" w:cs="Arial"/>
                <w:sz w:val="20"/>
                <w:szCs w:val="20"/>
              </w:rPr>
            </w:pPr>
            <w:r>
              <w:rPr>
                <w:rFonts w:ascii="Arial" w:eastAsia="Arial" w:hAnsi="Arial" w:cs="Arial"/>
                <w:sz w:val="20"/>
                <w:szCs w:val="20"/>
              </w:rPr>
              <w:t>6.91</w:t>
            </w:r>
          </w:p>
        </w:tc>
      </w:tr>
      <w:tr w:rsidR="00067C34" w14:paraId="7E87F9F2" w14:textId="77777777">
        <w:trPr>
          <w:trHeight w:val="66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7F23161" w14:textId="77777777" w:rsidR="00067C34" w:rsidRDefault="00BA3CD1">
            <w:pPr>
              <w:jc w:val="right"/>
              <w:rPr>
                <w:rFonts w:ascii="Arial" w:eastAsia="Arial" w:hAnsi="Arial" w:cs="Arial"/>
                <w:sz w:val="20"/>
                <w:szCs w:val="20"/>
              </w:rPr>
            </w:pPr>
            <w:r>
              <w:rPr>
                <w:rFonts w:ascii="Arial" w:eastAsia="Arial" w:hAnsi="Arial" w:cs="Arial"/>
                <w:sz w:val="20"/>
                <w:szCs w:val="20"/>
              </w:rPr>
              <w:t>30</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15D1481" w14:textId="77777777" w:rsidR="00067C34" w:rsidRDefault="00BA3CD1">
            <w:pPr>
              <w:jc w:val="both"/>
              <w:rPr>
                <w:rFonts w:ascii="Arial" w:eastAsia="Arial" w:hAnsi="Arial" w:cs="Arial"/>
                <w:sz w:val="20"/>
                <w:szCs w:val="20"/>
              </w:rPr>
            </w:pPr>
            <w:r>
              <w:rPr>
                <w:rFonts w:ascii="Arial" w:eastAsia="Arial" w:hAnsi="Arial" w:cs="Arial"/>
                <w:sz w:val="20"/>
                <w:szCs w:val="20"/>
              </w:rPr>
              <w:t>Auditoría Superior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AE87088" w14:textId="77777777" w:rsidR="00067C34" w:rsidRDefault="00BA3CD1">
            <w:pPr>
              <w:jc w:val="both"/>
              <w:rPr>
                <w:rFonts w:ascii="Arial" w:eastAsia="Arial" w:hAnsi="Arial" w:cs="Arial"/>
                <w:sz w:val="20"/>
                <w:szCs w:val="20"/>
              </w:rPr>
            </w:pPr>
            <w:r>
              <w:rPr>
                <w:rFonts w:ascii="Arial" w:eastAsia="Arial" w:hAnsi="Arial" w:cs="Arial"/>
                <w:sz w:val="20"/>
                <w:szCs w:val="20"/>
              </w:rPr>
              <w:t>Poder Legislativo</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231D8D0" w14:textId="77777777" w:rsidR="00067C34" w:rsidRDefault="00BA3CD1">
            <w:pPr>
              <w:jc w:val="right"/>
              <w:rPr>
                <w:rFonts w:ascii="Arial" w:eastAsia="Arial" w:hAnsi="Arial" w:cs="Arial"/>
                <w:sz w:val="20"/>
                <w:szCs w:val="20"/>
              </w:rPr>
            </w:pPr>
            <w:r>
              <w:rPr>
                <w:rFonts w:ascii="Arial" w:eastAsia="Arial" w:hAnsi="Arial" w:cs="Arial"/>
                <w:sz w:val="20"/>
                <w:szCs w:val="20"/>
              </w:rPr>
              <w:t>88.68</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D578160" w14:textId="77777777" w:rsidR="00067C34" w:rsidRDefault="00BA3CD1">
            <w:pPr>
              <w:jc w:val="right"/>
              <w:rPr>
                <w:rFonts w:ascii="Arial" w:eastAsia="Arial" w:hAnsi="Arial" w:cs="Arial"/>
                <w:sz w:val="20"/>
                <w:szCs w:val="20"/>
              </w:rPr>
            </w:pPr>
            <w:r>
              <w:rPr>
                <w:rFonts w:ascii="Arial" w:eastAsia="Arial" w:hAnsi="Arial" w:cs="Arial"/>
                <w:sz w:val="20"/>
                <w:szCs w:val="20"/>
              </w:rPr>
              <w:t>94.07</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10B033C" w14:textId="77777777" w:rsidR="00067C34" w:rsidRDefault="00BA3CD1">
            <w:pPr>
              <w:jc w:val="right"/>
              <w:rPr>
                <w:rFonts w:ascii="Arial" w:eastAsia="Arial" w:hAnsi="Arial" w:cs="Arial"/>
                <w:sz w:val="20"/>
                <w:szCs w:val="20"/>
              </w:rPr>
            </w:pPr>
            <w:r>
              <w:rPr>
                <w:rFonts w:ascii="Arial" w:eastAsia="Arial" w:hAnsi="Arial" w:cs="Arial"/>
                <w:sz w:val="20"/>
                <w:szCs w:val="20"/>
              </w:rPr>
              <w:t>5.39</w:t>
            </w:r>
          </w:p>
        </w:tc>
      </w:tr>
      <w:tr w:rsidR="00067C34" w14:paraId="28E05013" w14:textId="77777777">
        <w:trPr>
          <w:trHeight w:val="1115"/>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18CC15C" w14:textId="77777777" w:rsidR="00067C34" w:rsidRDefault="00BA3CD1">
            <w:pPr>
              <w:jc w:val="right"/>
              <w:rPr>
                <w:rFonts w:ascii="Arial" w:eastAsia="Arial" w:hAnsi="Arial" w:cs="Arial"/>
                <w:sz w:val="20"/>
                <w:szCs w:val="20"/>
              </w:rPr>
            </w:pPr>
            <w:r>
              <w:rPr>
                <w:rFonts w:ascii="Arial" w:eastAsia="Arial" w:hAnsi="Arial" w:cs="Arial"/>
                <w:sz w:val="20"/>
                <w:szCs w:val="20"/>
              </w:rPr>
              <w:t>31</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FE2B76B" w14:textId="77777777" w:rsidR="00067C34" w:rsidRDefault="00BA3CD1">
            <w:pPr>
              <w:jc w:val="both"/>
              <w:rPr>
                <w:rFonts w:ascii="Arial" w:eastAsia="Arial" w:hAnsi="Arial" w:cs="Arial"/>
                <w:sz w:val="20"/>
                <w:szCs w:val="20"/>
              </w:rPr>
            </w:pPr>
            <w:r>
              <w:rPr>
                <w:rFonts w:ascii="Arial" w:eastAsia="Arial" w:hAnsi="Arial" w:cs="Arial"/>
                <w:sz w:val="20"/>
                <w:szCs w:val="20"/>
              </w:rPr>
              <w:t>Mecanismo de Protección Integral de Personas Defensoras de Derechos Humanos y Periodistas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7A36B46"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63572961" w14:textId="77777777" w:rsidR="00067C34" w:rsidRDefault="00BA3CD1">
            <w:pPr>
              <w:jc w:val="right"/>
              <w:rPr>
                <w:rFonts w:ascii="Arial" w:eastAsia="Arial" w:hAnsi="Arial" w:cs="Arial"/>
                <w:sz w:val="20"/>
                <w:szCs w:val="20"/>
              </w:rPr>
            </w:pPr>
            <w:r>
              <w:rPr>
                <w:rFonts w:ascii="Arial" w:eastAsia="Arial" w:hAnsi="Arial" w:cs="Arial"/>
                <w:sz w:val="20"/>
                <w:szCs w:val="20"/>
              </w:rPr>
              <w:t>63.76</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1DB5CFC" w14:textId="77777777" w:rsidR="00067C34" w:rsidRDefault="00BA3CD1">
            <w:pPr>
              <w:jc w:val="right"/>
              <w:rPr>
                <w:rFonts w:ascii="Arial" w:eastAsia="Arial" w:hAnsi="Arial" w:cs="Arial"/>
                <w:sz w:val="20"/>
                <w:szCs w:val="20"/>
              </w:rPr>
            </w:pPr>
            <w:r>
              <w:rPr>
                <w:rFonts w:ascii="Arial" w:eastAsia="Arial" w:hAnsi="Arial" w:cs="Arial"/>
                <w:sz w:val="20"/>
                <w:szCs w:val="20"/>
              </w:rPr>
              <w:t>91.66</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78AF4DA" w14:textId="77777777" w:rsidR="00067C34" w:rsidRDefault="00BA3CD1">
            <w:pPr>
              <w:jc w:val="right"/>
              <w:rPr>
                <w:rFonts w:ascii="Arial" w:eastAsia="Arial" w:hAnsi="Arial" w:cs="Arial"/>
                <w:sz w:val="20"/>
                <w:szCs w:val="20"/>
              </w:rPr>
            </w:pPr>
            <w:r>
              <w:rPr>
                <w:rFonts w:ascii="Arial" w:eastAsia="Arial" w:hAnsi="Arial" w:cs="Arial"/>
                <w:sz w:val="20"/>
                <w:szCs w:val="20"/>
              </w:rPr>
              <w:t>27.90</w:t>
            </w:r>
          </w:p>
        </w:tc>
      </w:tr>
      <w:tr w:rsidR="00067C34" w14:paraId="19643F15"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06CAC90" w14:textId="77777777" w:rsidR="00067C34" w:rsidRDefault="00BA3CD1">
            <w:pPr>
              <w:jc w:val="right"/>
              <w:rPr>
                <w:rFonts w:ascii="Arial" w:eastAsia="Arial" w:hAnsi="Arial" w:cs="Arial"/>
                <w:sz w:val="20"/>
                <w:szCs w:val="20"/>
              </w:rPr>
            </w:pPr>
            <w:r>
              <w:rPr>
                <w:rFonts w:ascii="Arial" w:eastAsia="Arial" w:hAnsi="Arial" w:cs="Arial"/>
                <w:sz w:val="20"/>
                <w:szCs w:val="20"/>
              </w:rPr>
              <w:t>32</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424EAFA" w14:textId="77777777" w:rsidR="00067C34" w:rsidRDefault="00BA3CD1">
            <w:pPr>
              <w:jc w:val="both"/>
              <w:rPr>
                <w:rFonts w:ascii="Arial" w:eastAsia="Arial" w:hAnsi="Arial" w:cs="Arial"/>
                <w:sz w:val="20"/>
                <w:szCs w:val="20"/>
              </w:rPr>
            </w:pPr>
            <w:r>
              <w:rPr>
                <w:rFonts w:ascii="Arial" w:eastAsia="Arial" w:hAnsi="Arial" w:cs="Arial"/>
                <w:sz w:val="20"/>
                <w:szCs w:val="20"/>
              </w:rPr>
              <w:t>Procuraduría Social de la Ciudad de México.</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37574A6B"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ACEBD4B" w14:textId="77777777" w:rsidR="00067C34" w:rsidRDefault="00BA3CD1">
            <w:pPr>
              <w:jc w:val="right"/>
              <w:rPr>
                <w:rFonts w:ascii="Arial" w:eastAsia="Arial" w:hAnsi="Arial" w:cs="Arial"/>
                <w:sz w:val="20"/>
                <w:szCs w:val="20"/>
              </w:rPr>
            </w:pPr>
            <w:r>
              <w:rPr>
                <w:rFonts w:ascii="Arial" w:eastAsia="Arial" w:hAnsi="Arial" w:cs="Arial"/>
                <w:sz w:val="20"/>
                <w:szCs w:val="20"/>
              </w:rPr>
              <w:t>62.07</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840B897" w14:textId="77777777" w:rsidR="00067C34" w:rsidRDefault="00BA3CD1">
            <w:pPr>
              <w:jc w:val="right"/>
              <w:rPr>
                <w:rFonts w:ascii="Arial" w:eastAsia="Arial" w:hAnsi="Arial" w:cs="Arial"/>
                <w:sz w:val="20"/>
                <w:szCs w:val="20"/>
              </w:rPr>
            </w:pPr>
            <w:r>
              <w:rPr>
                <w:rFonts w:ascii="Arial" w:eastAsia="Arial" w:hAnsi="Arial" w:cs="Arial"/>
                <w:sz w:val="20"/>
                <w:szCs w:val="20"/>
              </w:rPr>
              <w:t>82.29</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5F66A99" w14:textId="77777777" w:rsidR="00067C34" w:rsidRDefault="00BA3CD1">
            <w:pPr>
              <w:jc w:val="right"/>
              <w:rPr>
                <w:rFonts w:ascii="Arial" w:eastAsia="Arial" w:hAnsi="Arial" w:cs="Arial"/>
                <w:sz w:val="20"/>
                <w:szCs w:val="20"/>
              </w:rPr>
            </w:pPr>
            <w:r>
              <w:rPr>
                <w:rFonts w:ascii="Arial" w:eastAsia="Arial" w:hAnsi="Arial" w:cs="Arial"/>
                <w:sz w:val="20"/>
                <w:szCs w:val="20"/>
              </w:rPr>
              <w:t>20.22</w:t>
            </w:r>
          </w:p>
        </w:tc>
      </w:tr>
      <w:tr w:rsidR="00067C34" w14:paraId="5BA5B9C4" w14:textId="77777777">
        <w:trPr>
          <w:trHeight w:val="890"/>
        </w:trPr>
        <w:tc>
          <w:tcPr>
            <w:tcW w:w="496"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5D4D7C1" w14:textId="77777777" w:rsidR="00067C34" w:rsidRDefault="00BA3CD1">
            <w:pPr>
              <w:jc w:val="right"/>
              <w:rPr>
                <w:rFonts w:ascii="Arial" w:eastAsia="Arial" w:hAnsi="Arial" w:cs="Arial"/>
                <w:sz w:val="20"/>
                <w:szCs w:val="20"/>
              </w:rPr>
            </w:pPr>
            <w:r>
              <w:rPr>
                <w:rFonts w:ascii="Arial" w:eastAsia="Arial" w:hAnsi="Arial" w:cs="Arial"/>
                <w:sz w:val="20"/>
                <w:szCs w:val="20"/>
              </w:rPr>
              <w:t>33</w:t>
            </w:r>
          </w:p>
        </w:tc>
        <w:tc>
          <w:tcPr>
            <w:tcW w:w="3256"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4165D9C2" w14:textId="77777777" w:rsidR="00067C34" w:rsidRDefault="00BA3CD1">
            <w:pPr>
              <w:jc w:val="both"/>
              <w:rPr>
                <w:rFonts w:ascii="Arial" w:eastAsia="Arial" w:hAnsi="Arial" w:cs="Arial"/>
                <w:sz w:val="20"/>
                <w:szCs w:val="20"/>
              </w:rPr>
            </w:pPr>
            <w:r>
              <w:rPr>
                <w:rFonts w:ascii="Arial" w:eastAsia="Arial" w:hAnsi="Arial" w:cs="Arial"/>
                <w:sz w:val="20"/>
                <w:szCs w:val="20"/>
              </w:rPr>
              <w:t>Planta Productora de Mezclas Asfálticas.</w:t>
            </w:r>
          </w:p>
        </w:tc>
        <w:tc>
          <w:tcPr>
            <w:tcW w:w="299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B5FCEB9" w14:textId="77777777" w:rsidR="00067C34" w:rsidRDefault="00BA3CD1">
            <w:pPr>
              <w:jc w:val="both"/>
              <w:rPr>
                <w:rFonts w:ascii="Arial" w:eastAsia="Arial" w:hAnsi="Arial" w:cs="Arial"/>
                <w:sz w:val="20"/>
                <w:szCs w:val="20"/>
              </w:rPr>
            </w:pPr>
            <w:r>
              <w:rPr>
                <w:rFonts w:ascii="Arial" w:eastAsia="Arial" w:hAnsi="Arial" w:cs="Arial"/>
                <w:sz w:val="20"/>
                <w:szCs w:val="20"/>
              </w:rPr>
              <w:t>Desconcentrados y Paraestatales (Descentralizados, Auxiliares, Fondos y Fideicomisos)</w:t>
            </w:r>
          </w:p>
        </w:tc>
        <w:tc>
          <w:tcPr>
            <w:tcW w:w="772"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258A9AF3" w14:textId="77777777" w:rsidR="00067C34" w:rsidRDefault="00BA3CD1">
            <w:pPr>
              <w:jc w:val="right"/>
              <w:rPr>
                <w:rFonts w:ascii="Arial" w:eastAsia="Arial" w:hAnsi="Arial" w:cs="Arial"/>
                <w:sz w:val="20"/>
                <w:szCs w:val="20"/>
              </w:rPr>
            </w:pPr>
            <w:r>
              <w:rPr>
                <w:rFonts w:ascii="Arial" w:eastAsia="Arial" w:hAnsi="Arial" w:cs="Arial"/>
                <w:sz w:val="20"/>
                <w:szCs w:val="20"/>
              </w:rPr>
              <w:t>17.27</w:t>
            </w:r>
          </w:p>
        </w:tc>
        <w:tc>
          <w:tcPr>
            <w:tcW w:w="814"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51672CF9" w14:textId="77777777" w:rsidR="00067C34" w:rsidRDefault="00BA3CD1">
            <w:pPr>
              <w:jc w:val="right"/>
              <w:rPr>
                <w:rFonts w:ascii="Arial" w:eastAsia="Arial" w:hAnsi="Arial" w:cs="Arial"/>
                <w:sz w:val="20"/>
                <w:szCs w:val="20"/>
              </w:rPr>
            </w:pPr>
            <w:r>
              <w:rPr>
                <w:rFonts w:ascii="Arial" w:eastAsia="Arial" w:hAnsi="Arial" w:cs="Arial"/>
                <w:sz w:val="20"/>
                <w:szCs w:val="20"/>
              </w:rPr>
              <w:t>66.57</w:t>
            </w:r>
          </w:p>
        </w:tc>
        <w:tc>
          <w:tcPr>
            <w:tcW w:w="1021" w:type="dxa"/>
            <w:tcBorders>
              <w:top w:val="nil"/>
              <w:left w:val="nil"/>
              <w:bottom w:val="single" w:sz="8" w:space="0" w:color="000000"/>
              <w:right w:val="single" w:sz="8" w:space="0" w:color="000000"/>
            </w:tcBorders>
            <w:tcMar>
              <w:top w:w="100" w:type="dxa"/>
              <w:left w:w="80" w:type="dxa"/>
              <w:bottom w:w="100" w:type="dxa"/>
              <w:right w:w="80" w:type="dxa"/>
            </w:tcMar>
            <w:vAlign w:val="bottom"/>
          </w:tcPr>
          <w:p w14:paraId="7E353E58" w14:textId="77777777" w:rsidR="00067C34" w:rsidRDefault="00BA3CD1">
            <w:pPr>
              <w:jc w:val="right"/>
              <w:rPr>
                <w:rFonts w:ascii="Arial" w:eastAsia="Arial" w:hAnsi="Arial" w:cs="Arial"/>
                <w:sz w:val="20"/>
                <w:szCs w:val="20"/>
              </w:rPr>
            </w:pPr>
            <w:r>
              <w:rPr>
                <w:rFonts w:ascii="Arial" w:eastAsia="Arial" w:hAnsi="Arial" w:cs="Arial"/>
                <w:sz w:val="20"/>
                <w:szCs w:val="20"/>
              </w:rPr>
              <w:t>49.30</w:t>
            </w:r>
          </w:p>
        </w:tc>
      </w:tr>
    </w:tbl>
    <w:p w14:paraId="7FD48185" w14:textId="77777777" w:rsidR="00067C34" w:rsidRDefault="00BA3CD1">
      <w:pPr>
        <w:spacing w:before="240" w:after="240" w:line="360" w:lineRule="auto"/>
        <w:jc w:val="both"/>
        <w:rPr>
          <w:rFonts w:ascii="Arial" w:eastAsia="Arial" w:hAnsi="Arial" w:cs="Arial"/>
        </w:rPr>
      </w:pPr>
      <w:r>
        <w:rPr>
          <w:rFonts w:ascii="Arial" w:eastAsia="Arial" w:hAnsi="Arial" w:cs="Arial"/>
        </w:rPr>
        <w:t xml:space="preserve"> </w:t>
      </w:r>
    </w:p>
    <w:p w14:paraId="1679CC0C" w14:textId="77777777" w:rsidR="00067C34" w:rsidRDefault="00BA3CD1">
      <w:pPr>
        <w:spacing w:before="240" w:after="240" w:line="360" w:lineRule="auto"/>
        <w:jc w:val="both"/>
        <w:rPr>
          <w:rFonts w:ascii="Arial" w:eastAsia="Arial" w:hAnsi="Arial" w:cs="Arial"/>
        </w:rPr>
      </w:pPr>
      <w:r>
        <w:rPr>
          <w:rFonts w:ascii="Arial" w:eastAsia="Arial" w:hAnsi="Arial" w:cs="Arial"/>
        </w:rPr>
        <w:t>Destacan también los casos de sujetos obligados asesorados que tuvieron incrementos muy significativos en su nivel global de cumplimiento, por ejempl</w:t>
      </w:r>
      <w:r>
        <w:rPr>
          <w:rFonts w:ascii="Arial" w:eastAsia="Arial" w:hAnsi="Arial" w:cs="Arial"/>
        </w:rPr>
        <w:t>o, la Planta Productora de Mezclas Asfálticas que aumentó 49.3 puntos y pasó de 17.27 a 66.57; el Instituto de Capacitación para el Trabajo de la Ciudad de México que pasó de 63.28 a 100 puntos con una mejora de 36.72 puntos, la Junta de Asistencia Privada</w:t>
      </w:r>
      <w:r>
        <w:rPr>
          <w:rFonts w:ascii="Arial" w:eastAsia="Arial" w:hAnsi="Arial" w:cs="Arial"/>
        </w:rPr>
        <w:t xml:space="preserve"> que aumentó 34.03 puntos al pasar de 65.12 a 99.15 su IGOT, o bien, el Mecanismo de Protección Integral de Personas Defensoras de Derechos Humanos y Periodistas de la Ciudad de México que aumentó de 27.9 puntos y mejoró su IGOT de 63.76 a 91.66.  </w:t>
      </w:r>
    </w:p>
    <w:p w14:paraId="59959E3B" w14:textId="77777777" w:rsidR="00067C34" w:rsidRDefault="00BA3CD1">
      <w:pPr>
        <w:spacing w:line="360" w:lineRule="auto"/>
        <w:jc w:val="both"/>
        <w:rPr>
          <w:rFonts w:ascii="Arial" w:eastAsia="Arial" w:hAnsi="Arial" w:cs="Arial"/>
        </w:rPr>
      </w:pPr>
      <w:r>
        <w:rPr>
          <w:rFonts w:ascii="Arial" w:eastAsia="Arial" w:hAnsi="Arial" w:cs="Arial"/>
        </w:rPr>
        <w:t>Tomando estos resultados como evidencia, la Dirección de Estado Abierto, Estudios y Evaluación intensificará y mejorará su estrategia de acompañamiento a los sujetos obligados de la Ciudad de México a través de las asesorías técnicas especializadas para ab</w:t>
      </w:r>
      <w:r>
        <w:rPr>
          <w:rFonts w:ascii="Arial" w:eastAsia="Arial" w:hAnsi="Arial" w:cs="Arial"/>
        </w:rPr>
        <w:t>atir el incumplimiento de obligaciones de transparencia y así garantizar a las personas el ejercicio del derecho a saber sobre los asuntos públicos.</w:t>
      </w:r>
    </w:p>
    <w:p w14:paraId="5BE42E46" w14:textId="77777777" w:rsidR="00067C34" w:rsidRDefault="00067C34">
      <w:pPr>
        <w:spacing w:line="360" w:lineRule="auto"/>
        <w:jc w:val="both"/>
        <w:rPr>
          <w:rFonts w:ascii="Arial" w:eastAsia="Arial" w:hAnsi="Arial" w:cs="Arial"/>
        </w:rPr>
      </w:pPr>
    </w:p>
    <w:p w14:paraId="5BD02266"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En los siguientes apartados se analizan los resultados de la Tercera Evaluación 2020 en cada uno de los oc</w:t>
      </w:r>
      <w:r>
        <w:rPr>
          <w:rFonts w:ascii="Arial" w:eastAsia="Arial" w:hAnsi="Arial" w:cs="Arial"/>
          <w:color w:val="000000"/>
        </w:rPr>
        <w:t xml:space="preserve">ho ámbitos de gobierno en los que se clasifican los sujetos obligados del Padrón. </w:t>
      </w:r>
      <w:r>
        <w:br w:type="page"/>
      </w:r>
    </w:p>
    <w:p w14:paraId="5AC47D44" w14:textId="77777777" w:rsidR="00067C34" w:rsidRDefault="00BA3CD1">
      <w:pPr>
        <w:pStyle w:val="Ttulo1"/>
        <w:rPr>
          <w:rFonts w:ascii="Arial" w:eastAsia="Arial" w:hAnsi="Arial" w:cs="Arial"/>
          <w:b/>
          <w:color w:val="000000"/>
          <w:sz w:val="24"/>
          <w:szCs w:val="24"/>
        </w:rPr>
      </w:pPr>
      <w:bookmarkStart w:id="8" w:name="_heading=h.2p2csry" w:colFirst="0" w:colLast="0"/>
      <w:bookmarkEnd w:id="8"/>
      <w:r>
        <w:rPr>
          <w:rFonts w:ascii="Arial" w:eastAsia="Arial" w:hAnsi="Arial" w:cs="Arial"/>
          <w:b/>
          <w:color w:val="000000"/>
          <w:sz w:val="24"/>
          <w:szCs w:val="24"/>
        </w:rPr>
        <w:t>ADMINISTRACIÓN PÚBLICA CENTRAL</w:t>
      </w:r>
    </w:p>
    <w:p w14:paraId="3F068E38"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El ámbito de la Administración Pública Central de la Ciudad de México estaba integ</w:t>
      </w:r>
      <w:r>
        <w:rPr>
          <w:rFonts w:ascii="Arial" w:eastAsia="Arial" w:hAnsi="Arial" w:cs="Arial"/>
        </w:rPr>
        <w:t xml:space="preserve">rado en 2019 </w:t>
      </w:r>
      <w:r>
        <w:rPr>
          <w:rFonts w:ascii="Arial" w:eastAsia="Arial" w:hAnsi="Arial" w:cs="Arial"/>
          <w:color w:val="000000"/>
        </w:rPr>
        <w:t>por 22 sujetos obligados, de conformidad con e</w:t>
      </w:r>
      <w:r>
        <w:rPr>
          <w:rFonts w:ascii="Arial" w:eastAsia="Arial" w:hAnsi="Arial" w:cs="Arial"/>
          <w:color w:val="000000"/>
        </w:rPr>
        <w:t>l Padrón de sujetos obligados supeditados al cumplimiento de la Ley de Transparencia, Acceso a la Información Pública y Rendición de Cuentas de la Ciudad de México y de la Ley de Protección de Datos Personales en Posesión de los sujetos obligados de la Ciu</w:t>
      </w:r>
      <w:r>
        <w:rPr>
          <w:rFonts w:ascii="Arial" w:eastAsia="Arial" w:hAnsi="Arial" w:cs="Arial"/>
          <w:color w:val="000000"/>
        </w:rPr>
        <w:t xml:space="preserve">dad de México vigente. </w:t>
      </w:r>
    </w:p>
    <w:p w14:paraId="798ABF20"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 xml:space="preserve">De los </w:t>
      </w:r>
      <w:r>
        <w:rPr>
          <w:rFonts w:ascii="Arial" w:eastAsia="Arial" w:hAnsi="Arial" w:cs="Arial"/>
          <w:b/>
          <w:color w:val="000000"/>
        </w:rPr>
        <w:t>9</w:t>
      </w:r>
      <w:r>
        <w:rPr>
          <w:rFonts w:ascii="Arial" w:eastAsia="Arial" w:hAnsi="Arial" w:cs="Arial"/>
          <w:color w:val="000000"/>
        </w:rPr>
        <w:t xml:space="preserve"> sujetos obligados que fueron evaluados derivado de las recomendaciones y observaciones realizadas en la Segunda Evaluación Vinculante 2020, el 55.6%, es decir, 5 sujetos obligados dieron un </w:t>
      </w:r>
      <w:r>
        <w:rPr>
          <w:rFonts w:ascii="Arial" w:eastAsia="Arial" w:hAnsi="Arial" w:cs="Arial"/>
          <w:b/>
          <w:color w:val="000000"/>
        </w:rPr>
        <w:t>cumplimiento total</w:t>
      </w:r>
      <w:r>
        <w:rPr>
          <w:rFonts w:ascii="Arial" w:eastAsia="Arial" w:hAnsi="Arial" w:cs="Arial"/>
          <w:color w:val="000000"/>
        </w:rPr>
        <w:t xml:space="preserve"> del piso mínimo contemplado en la Ley de Trans</w:t>
      </w:r>
      <w:r>
        <w:rPr>
          <w:rFonts w:ascii="Arial" w:eastAsia="Arial" w:hAnsi="Arial" w:cs="Arial"/>
          <w:color w:val="000000"/>
        </w:rPr>
        <w:t xml:space="preserve">parencia local y los cuatro restantes continúan presentando áreas de oportunidad con relación a la publicación y actualización de la información. </w:t>
      </w:r>
    </w:p>
    <w:p w14:paraId="5AD32516" w14:textId="77777777" w:rsidR="00067C34" w:rsidRDefault="00BA3CD1">
      <w:pPr>
        <w:pStyle w:val="Ttulo2"/>
        <w:jc w:val="both"/>
        <w:rPr>
          <w:rFonts w:ascii="Arial" w:eastAsia="Arial" w:hAnsi="Arial" w:cs="Arial"/>
          <w:b/>
          <w:color w:val="000000"/>
          <w:sz w:val="24"/>
          <w:szCs w:val="24"/>
        </w:rPr>
      </w:pPr>
      <w:bookmarkStart w:id="9" w:name="_heading=h.147n2zr" w:colFirst="0" w:colLast="0"/>
      <w:bookmarkEnd w:id="9"/>
      <w:r>
        <w:rPr>
          <w:rFonts w:ascii="Arial" w:eastAsia="Arial" w:hAnsi="Arial" w:cs="Arial"/>
          <w:b/>
          <w:color w:val="000000"/>
          <w:sz w:val="24"/>
          <w:szCs w:val="24"/>
        </w:rPr>
        <w:t>Análisis global de cumplimiento de la administración pública central</w:t>
      </w:r>
    </w:p>
    <w:p w14:paraId="71429D92" w14:textId="77777777" w:rsidR="00067C34" w:rsidRDefault="00067C34">
      <w:pPr>
        <w:rPr>
          <w:rFonts w:ascii="Arial" w:eastAsia="Arial" w:hAnsi="Arial" w:cs="Arial"/>
          <w:color w:val="000000"/>
        </w:rPr>
      </w:pPr>
    </w:p>
    <w:p w14:paraId="23A3EF6A" w14:textId="77777777" w:rsidR="00067C34" w:rsidRDefault="00BA3CD1">
      <w:pPr>
        <w:spacing w:before="280" w:after="280" w:line="360" w:lineRule="auto"/>
        <w:jc w:val="both"/>
        <w:rPr>
          <w:rFonts w:ascii="Arial" w:eastAsia="Arial" w:hAnsi="Arial" w:cs="Arial"/>
          <w:color w:val="000000"/>
          <w:u w:val="single"/>
        </w:rPr>
      </w:pPr>
      <w:r>
        <w:rPr>
          <w:rFonts w:ascii="Arial" w:eastAsia="Arial" w:hAnsi="Arial" w:cs="Arial"/>
          <w:color w:val="000000"/>
          <w:u w:val="single"/>
        </w:rPr>
        <w:t>Índices Globales de Cumplimiento de las</w:t>
      </w:r>
      <w:r>
        <w:rPr>
          <w:rFonts w:ascii="Arial" w:eastAsia="Arial" w:hAnsi="Arial" w:cs="Arial"/>
          <w:color w:val="000000"/>
          <w:u w:val="single"/>
        </w:rPr>
        <w:t xml:space="preserve"> obligaciones de transparencia</w:t>
      </w:r>
    </w:p>
    <w:p w14:paraId="63247545"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 xml:space="preserve">En promedio los sujetos obligados de la administración pública central </w:t>
      </w:r>
      <w:r>
        <w:rPr>
          <w:rFonts w:ascii="Arial" w:eastAsia="Arial" w:hAnsi="Arial" w:cs="Arial"/>
        </w:rPr>
        <w:t>obtuvieron en la Tercera Evaluación Vinculante 2020</w:t>
      </w:r>
      <w:r>
        <w:rPr>
          <w:rFonts w:ascii="Arial" w:eastAsia="Arial" w:hAnsi="Arial" w:cs="Arial"/>
          <w:color w:val="000000"/>
        </w:rPr>
        <w:t xml:space="preserve"> un IGOT de 96.8, el cual está compuesto por un índice de 97.98 que corresponde a la Plataforma Naciona</w:t>
      </w:r>
      <w:r>
        <w:rPr>
          <w:rFonts w:ascii="Arial" w:eastAsia="Arial" w:hAnsi="Arial" w:cs="Arial"/>
          <w:color w:val="000000"/>
        </w:rPr>
        <w:t>l de Transparencia (PNT) y un índice de 95.71 en lo que se refiere al Portal de Transparencia (PI).</w:t>
      </w:r>
    </w:p>
    <w:p w14:paraId="08B3C803"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Los sujetos obligados, así como su Índice de Cumplimiento de obligaciones de transparencia del Portal de Internet (IGOT-PI), el de la Plataforma Nacional de</w:t>
      </w:r>
      <w:r>
        <w:rPr>
          <w:rFonts w:ascii="Arial" w:eastAsia="Arial" w:hAnsi="Arial" w:cs="Arial"/>
          <w:color w:val="000000"/>
        </w:rPr>
        <w:t xml:space="preserve"> Transparencia (IGOT-PNT) y el Índice General de Cumplimiento de obligaciones de transparencia (IGOT) se presentan en la siguiente tabla, ordenados de forma descendente, respecto del IGOT: </w:t>
      </w:r>
    </w:p>
    <w:p w14:paraId="740CDCCD" w14:textId="77777777" w:rsidR="00067C34" w:rsidRDefault="00BA3CD1">
      <w:pPr>
        <w:spacing w:before="280"/>
        <w:jc w:val="both"/>
        <w:rPr>
          <w:rFonts w:ascii="Arial" w:eastAsia="Arial" w:hAnsi="Arial" w:cs="Arial"/>
          <w:b/>
          <w:color w:val="000000"/>
          <w:sz w:val="22"/>
          <w:szCs w:val="22"/>
        </w:rPr>
      </w:pPr>
      <w:r>
        <w:rPr>
          <w:rFonts w:ascii="Arial" w:eastAsia="Arial" w:hAnsi="Arial" w:cs="Arial"/>
          <w:b/>
          <w:color w:val="000000"/>
          <w:sz w:val="22"/>
          <w:szCs w:val="22"/>
        </w:rPr>
        <w:t>Comparativo de índices entre la Segunda Evaluación Vinculante 2020</w:t>
      </w:r>
      <w:r>
        <w:rPr>
          <w:rFonts w:ascii="Arial" w:eastAsia="Arial" w:hAnsi="Arial" w:cs="Arial"/>
          <w:b/>
          <w:color w:val="000000"/>
          <w:sz w:val="22"/>
          <w:szCs w:val="22"/>
        </w:rPr>
        <w:t xml:space="preserve"> y la Tercera Evaluación Vinculante 2020</w:t>
      </w:r>
    </w:p>
    <w:tbl>
      <w:tblPr>
        <w:tblStyle w:val="aff4"/>
        <w:tblW w:w="92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5375"/>
        <w:gridCol w:w="1265"/>
        <w:gridCol w:w="1265"/>
        <w:gridCol w:w="856"/>
      </w:tblGrid>
      <w:tr w:rsidR="00067C34" w14:paraId="1FA4A1C1" w14:textId="77777777">
        <w:trPr>
          <w:trHeight w:val="380"/>
        </w:trPr>
        <w:tc>
          <w:tcPr>
            <w:tcW w:w="536" w:type="dxa"/>
            <w:shd w:val="clear" w:color="auto" w:fill="F4B084"/>
          </w:tcPr>
          <w:p w14:paraId="2C7F89C7"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No.</w:t>
            </w:r>
          </w:p>
        </w:tc>
        <w:tc>
          <w:tcPr>
            <w:tcW w:w="5375" w:type="dxa"/>
            <w:shd w:val="clear" w:color="auto" w:fill="F4B084"/>
            <w:vAlign w:val="center"/>
          </w:tcPr>
          <w:p w14:paraId="33D560F3"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Sujeto Obligado</w:t>
            </w:r>
          </w:p>
        </w:tc>
        <w:tc>
          <w:tcPr>
            <w:tcW w:w="1265" w:type="dxa"/>
            <w:shd w:val="clear" w:color="auto" w:fill="F4B084"/>
            <w:vAlign w:val="center"/>
          </w:tcPr>
          <w:p w14:paraId="1BF512F6"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IGOT 2da Evaluación</w:t>
            </w:r>
          </w:p>
        </w:tc>
        <w:tc>
          <w:tcPr>
            <w:tcW w:w="1265" w:type="dxa"/>
            <w:shd w:val="clear" w:color="auto" w:fill="F4B084"/>
            <w:vAlign w:val="center"/>
          </w:tcPr>
          <w:p w14:paraId="23E52230"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IGOT 3ra Evaluación</w:t>
            </w:r>
          </w:p>
        </w:tc>
        <w:tc>
          <w:tcPr>
            <w:tcW w:w="856" w:type="dxa"/>
            <w:shd w:val="clear" w:color="auto" w:fill="F4B084"/>
            <w:vAlign w:val="center"/>
          </w:tcPr>
          <w:p w14:paraId="285D5578" w14:textId="77777777" w:rsidR="00067C34" w:rsidRDefault="00BA3CD1">
            <w:pPr>
              <w:jc w:val="center"/>
              <w:rPr>
                <w:rFonts w:ascii="Arial" w:eastAsia="Arial" w:hAnsi="Arial" w:cs="Arial"/>
                <w:b/>
                <w:color w:val="000000"/>
                <w:sz w:val="18"/>
                <w:szCs w:val="18"/>
              </w:rPr>
            </w:pPr>
            <w:r>
              <w:rPr>
                <w:rFonts w:ascii="Arial" w:eastAsia="Arial" w:hAnsi="Arial" w:cs="Arial"/>
                <w:b/>
                <w:color w:val="000000"/>
                <w:sz w:val="18"/>
                <w:szCs w:val="18"/>
              </w:rPr>
              <w:t>Mejora</w:t>
            </w:r>
          </w:p>
        </w:tc>
      </w:tr>
      <w:tr w:rsidR="00067C34" w14:paraId="206EDE76" w14:textId="77777777">
        <w:trPr>
          <w:trHeight w:val="186"/>
        </w:trPr>
        <w:tc>
          <w:tcPr>
            <w:tcW w:w="536" w:type="dxa"/>
          </w:tcPr>
          <w:p w14:paraId="09DE35B2"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1</w:t>
            </w:r>
          </w:p>
        </w:tc>
        <w:tc>
          <w:tcPr>
            <w:tcW w:w="5375" w:type="dxa"/>
            <w:shd w:val="clear" w:color="auto" w:fill="auto"/>
            <w:vAlign w:val="bottom"/>
          </w:tcPr>
          <w:p w14:paraId="2CBE9334"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Educación, Ciencia, Tecnología e Innovación.</w:t>
            </w:r>
          </w:p>
        </w:tc>
        <w:tc>
          <w:tcPr>
            <w:tcW w:w="1265" w:type="dxa"/>
            <w:shd w:val="clear" w:color="auto" w:fill="auto"/>
            <w:vAlign w:val="bottom"/>
          </w:tcPr>
          <w:p w14:paraId="26220BCE"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92.82</w:t>
            </w:r>
          </w:p>
        </w:tc>
        <w:tc>
          <w:tcPr>
            <w:tcW w:w="1265" w:type="dxa"/>
            <w:shd w:val="clear" w:color="auto" w:fill="auto"/>
            <w:vAlign w:val="bottom"/>
          </w:tcPr>
          <w:p w14:paraId="032BB67B"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100.00</w:t>
            </w:r>
          </w:p>
        </w:tc>
        <w:tc>
          <w:tcPr>
            <w:tcW w:w="856" w:type="dxa"/>
            <w:shd w:val="clear" w:color="auto" w:fill="auto"/>
            <w:vAlign w:val="bottom"/>
          </w:tcPr>
          <w:p w14:paraId="3F043B97"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7.18</w:t>
            </w:r>
          </w:p>
        </w:tc>
      </w:tr>
      <w:tr w:rsidR="00067C34" w14:paraId="58C289A0" w14:textId="77777777">
        <w:trPr>
          <w:trHeight w:val="186"/>
        </w:trPr>
        <w:tc>
          <w:tcPr>
            <w:tcW w:w="536" w:type="dxa"/>
          </w:tcPr>
          <w:p w14:paraId="58590DBD"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2</w:t>
            </w:r>
          </w:p>
        </w:tc>
        <w:tc>
          <w:tcPr>
            <w:tcW w:w="5375" w:type="dxa"/>
            <w:shd w:val="clear" w:color="auto" w:fill="auto"/>
            <w:vAlign w:val="bottom"/>
          </w:tcPr>
          <w:p w14:paraId="6B70E054"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Cultura.</w:t>
            </w:r>
          </w:p>
        </w:tc>
        <w:tc>
          <w:tcPr>
            <w:tcW w:w="1265" w:type="dxa"/>
            <w:shd w:val="clear" w:color="auto" w:fill="auto"/>
            <w:vAlign w:val="bottom"/>
          </w:tcPr>
          <w:p w14:paraId="645ADA18"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94.44</w:t>
            </w:r>
          </w:p>
        </w:tc>
        <w:tc>
          <w:tcPr>
            <w:tcW w:w="1265" w:type="dxa"/>
            <w:shd w:val="clear" w:color="auto" w:fill="auto"/>
            <w:vAlign w:val="bottom"/>
          </w:tcPr>
          <w:p w14:paraId="0C6DB3FF"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100.00</w:t>
            </w:r>
          </w:p>
        </w:tc>
        <w:tc>
          <w:tcPr>
            <w:tcW w:w="856" w:type="dxa"/>
            <w:shd w:val="clear" w:color="auto" w:fill="auto"/>
            <w:vAlign w:val="bottom"/>
          </w:tcPr>
          <w:p w14:paraId="679EF8FA"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5.56</w:t>
            </w:r>
          </w:p>
        </w:tc>
      </w:tr>
      <w:tr w:rsidR="00067C34" w14:paraId="634FD4DC" w14:textId="77777777">
        <w:trPr>
          <w:trHeight w:val="186"/>
        </w:trPr>
        <w:tc>
          <w:tcPr>
            <w:tcW w:w="536" w:type="dxa"/>
          </w:tcPr>
          <w:p w14:paraId="3A26B42A"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3</w:t>
            </w:r>
          </w:p>
        </w:tc>
        <w:tc>
          <w:tcPr>
            <w:tcW w:w="5375" w:type="dxa"/>
            <w:shd w:val="clear" w:color="auto" w:fill="auto"/>
            <w:vAlign w:val="bottom"/>
          </w:tcPr>
          <w:p w14:paraId="79DA7E74"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Turismo.</w:t>
            </w:r>
          </w:p>
        </w:tc>
        <w:tc>
          <w:tcPr>
            <w:tcW w:w="1265" w:type="dxa"/>
            <w:shd w:val="clear" w:color="auto" w:fill="auto"/>
            <w:vAlign w:val="bottom"/>
          </w:tcPr>
          <w:p w14:paraId="4E32281E"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93.52</w:t>
            </w:r>
          </w:p>
        </w:tc>
        <w:tc>
          <w:tcPr>
            <w:tcW w:w="1265" w:type="dxa"/>
            <w:shd w:val="clear" w:color="auto" w:fill="auto"/>
            <w:vAlign w:val="bottom"/>
          </w:tcPr>
          <w:p w14:paraId="7539EA07"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100.00</w:t>
            </w:r>
          </w:p>
        </w:tc>
        <w:tc>
          <w:tcPr>
            <w:tcW w:w="856" w:type="dxa"/>
            <w:shd w:val="clear" w:color="auto" w:fill="auto"/>
            <w:vAlign w:val="bottom"/>
          </w:tcPr>
          <w:p w14:paraId="49D3F44C"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6.48</w:t>
            </w:r>
          </w:p>
        </w:tc>
      </w:tr>
      <w:tr w:rsidR="00067C34" w14:paraId="44EE6287" w14:textId="77777777">
        <w:trPr>
          <w:trHeight w:val="186"/>
        </w:trPr>
        <w:tc>
          <w:tcPr>
            <w:tcW w:w="536" w:type="dxa"/>
          </w:tcPr>
          <w:p w14:paraId="08A5E02E"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4</w:t>
            </w:r>
          </w:p>
        </w:tc>
        <w:tc>
          <w:tcPr>
            <w:tcW w:w="5375" w:type="dxa"/>
            <w:shd w:val="clear" w:color="auto" w:fill="auto"/>
            <w:vAlign w:val="bottom"/>
          </w:tcPr>
          <w:p w14:paraId="5E95F989"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Obras y Servicios.</w:t>
            </w:r>
          </w:p>
        </w:tc>
        <w:tc>
          <w:tcPr>
            <w:tcW w:w="1265" w:type="dxa"/>
            <w:shd w:val="clear" w:color="auto" w:fill="auto"/>
            <w:vAlign w:val="bottom"/>
          </w:tcPr>
          <w:p w14:paraId="3A92D8C8"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96.36</w:t>
            </w:r>
          </w:p>
        </w:tc>
        <w:tc>
          <w:tcPr>
            <w:tcW w:w="1265" w:type="dxa"/>
            <w:shd w:val="clear" w:color="auto" w:fill="auto"/>
            <w:vAlign w:val="bottom"/>
          </w:tcPr>
          <w:p w14:paraId="2E934C98"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100.00</w:t>
            </w:r>
          </w:p>
        </w:tc>
        <w:tc>
          <w:tcPr>
            <w:tcW w:w="856" w:type="dxa"/>
            <w:shd w:val="clear" w:color="auto" w:fill="auto"/>
            <w:vAlign w:val="bottom"/>
          </w:tcPr>
          <w:p w14:paraId="63EE3830"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3.64</w:t>
            </w:r>
          </w:p>
        </w:tc>
      </w:tr>
      <w:tr w:rsidR="00067C34" w14:paraId="70DAC881" w14:textId="77777777">
        <w:trPr>
          <w:trHeight w:val="186"/>
        </w:trPr>
        <w:tc>
          <w:tcPr>
            <w:tcW w:w="536" w:type="dxa"/>
          </w:tcPr>
          <w:p w14:paraId="0846ADC3"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5</w:t>
            </w:r>
          </w:p>
        </w:tc>
        <w:tc>
          <w:tcPr>
            <w:tcW w:w="5375" w:type="dxa"/>
            <w:shd w:val="clear" w:color="auto" w:fill="auto"/>
            <w:vAlign w:val="bottom"/>
          </w:tcPr>
          <w:p w14:paraId="1A84C7B7"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las Mujeres.</w:t>
            </w:r>
          </w:p>
        </w:tc>
        <w:tc>
          <w:tcPr>
            <w:tcW w:w="1265" w:type="dxa"/>
            <w:shd w:val="clear" w:color="auto" w:fill="auto"/>
            <w:vAlign w:val="bottom"/>
          </w:tcPr>
          <w:p w14:paraId="72EE81F5"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96.95</w:t>
            </w:r>
          </w:p>
        </w:tc>
        <w:tc>
          <w:tcPr>
            <w:tcW w:w="1265" w:type="dxa"/>
            <w:shd w:val="clear" w:color="auto" w:fill="auto"/>
            <w:vAlign w:val="bottom"/>
          </w:tcPr>
          <w:p w14:paraId="42FC82F9"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100.00</w:t>
            </w:r>
          </w:p>
        </w:tc>
        <w:tc>
          <w:tcPr>
            <w:tcW w:w="856" w:type="dxa"/>
            <w:shd w:val="clear" w:color="auto" w:fill="auto"/>
            <w:vAlign w:val="bottom"/>
          </w:tcPr>
          <w:p w14:paraId="6C3964BE"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3.05</w:t>
            </w:r>
          </w:p>
        </w:tc>
      </w:tr>
      <w:tr w:rsidR="00067C34" w14:paraId="0B97C08D" w14:textId="77777777">
        <w:trPr>
          <w:trHeight w:val="186"/>
        </w:trPr>
        <w:tc>
          <w:tcPr>
            <w:tcW w:w="536" w:type="dxa"/>
          </w:tcPr>
          <w:p w14:paraId="144AE3E5"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6</w:t>
            </w:r>
          </w:p>
        </w:tc>
        <w:tc>
          <w:tcPr>
            <w:tcW w:w="5375" w:type="dxa"/>
            <w:shd w:val="clear" w:color="auto" w:fill="auto"/>
            <w:vAlign w:val="bottom"/>
          </w:tcPr>
          <w:p w14:paraId="18157261"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del Medio Ambiente.</w:t>
            </w:r>
          </w:p>
        </w:tc>
        <w:tc>
          <w:tcPr>
            <w:tcW w:w="1265" w:type="dxa"/>
            <w:shd w:val="clear" w:color="auto" w:fill="auto"/>
            <w:vAlign w:val="bottom"/>
          </w:tcPr>
          <w:p w14:paraId="09D1B0D5"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84.92</w:t>
            </w:r>
          </w:p>
        </w:tc>
        <w:tc>
          <w:tcPr>
            <w:tcW w:w="1265" w:type="dxa"/>
            <w:shd w:val="clear" w:color="auto" w:fill="auto"/>
            <w:vAlign w:val="bottom"/>
          </w:tcPr>
          <w:p w14:paraId="4C799AB1"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99.51</w:t>
            </w:r>
          </w:p>
        </w:tc>
        <w:tc>
          <w:tcPr>
            <w:tcW w:w="856" w:type="dxa"/>
            <w:shd w:val="clear" w:color="auto" w:fill="auto"/>
            <w:vAlign w:val="bottom"/>
          </w:tcPr>
          <w:p w14:paraId="703064CB"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14.60</w:t>
            </w:r>
          </w:p>
        </w:tc>
      </w:tr>
      <w:tr w:rsidR="00067C34" w14:paraId="17E57B1F" w14:textId="77777777">
        <w:trPr>
          <w:trHeight w:val="186"/>
        </w:trPr>
        <w:tc>
          <w:tcPr>
            <w:tcW w:w="536" w:type="dxa"/>
          </w:tcPr>
          <w:p w14:paraId="57C29DFD"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7</w:t>
            </w:r>
          </w:p>
        </w:tc>
        <w:tc>
          <w:tcPr>
            <w:tcW w:w="5375" w:type="dxa"/>
            <w:shd w:val="clear" w:color="auto" w:fill="auto"/>
            <w:vAlign w:val="bottom"/>
          </w:tcPr>
          <w:p w14:paraId="6033D8A9"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Desarrollo Económico.</w:t>
            </w:r>
          </w:p>
        </w:tc>
        <w:tc>
          <w:tcPr>
            <w:tcW w:w="1265" w:type="dxa"/>
            <w:shd w:val="clear" w:color="auto" w:fill="auto"/>
            <w:vAlign w:val="bottom"/>
          </w:tcPr>
          <w:p w14:paraId="400BBEDC"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99.15</w:t>
            </w:r>
          </w:p>
        </w:tc>
        <w:tc>
          <w:tcPr>
            <w:tcW w:w="1265" w:type="dxa"/>
            <w:shd w:val="clear" w:color="auto" w:fill="auto"/>
            <w:vAlign w:val="bottom"/>
          </w:tcPr>
          <w:p w14:paraId="1DA5D43E"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99.38</w:t>
            </w:r>
          </w:p>
        </w:tc>
        <w:tc>
          <w:tcPr>
            <w:tcW w:w="856" w:type="dxa"/>
            <w:shd w:val="clear" w:color="auto" w:fill="auto"/>
            <w:vAlign w:val="bottom"/>
          </w:tcPr>
          <w:p w14:paraId="7DCC0B96"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0.23</w:t>
            </w:r>
          </w:p>
        </w:tc>
      </w:tr>
      <w:tr w:rsidR="00067C34" w14:paraId="2733BD45" w14:textId="77777777">
        <w:trPr>
          <w:trHeight w:val="186"/>
        </w:trPr>
        <w:tc>
          <w:tcPr>
            <w:tcW w:w="536" w:type="dxa"/>
          </w:tcPr>
          <w:p w14:paraId="59B11107"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8</w:t>
            </w:r>
          </w:p>
        </w:tc>
        <w:tc>
          <w:tcPr>
            <w:tcW w:w="5375" w:type="dxa"/>
            <w:shd w:val="clear" w:color="auto" w:fill="auto"/>
            <w:vAlign w:val="bottom"/>
          </w:tcPr>
          <w:p w14:paraId="78E71F4B"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Secretaría de Desarrollo Urbano y Vivienda.</w:t>
            </w:r>
          </w:p>
        </w:tc>
        <w:tc>
          <w:tcPr>
            <w:tcW w:w="1265" w:type="dxa"/>
            <w:shd w:val="clear" w:color="auto" w:fill="auto"/>
            <w:vAlign w:val="bottom"/>
          </w:tcPr>
          <w:p w14:paraId="55A873B6"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90.96</w:t>
            </w:r>
          </w:p>
        </w:tc>
        <w:tc>
          <w:tcPr>
            <w:tcW w:w="1265" w:type="dxa"/>
            <w:shd w:val="clear" w:color="auto" w:fill="auto"/>
            <w:vAlign w:val="bottom"/>
          </w:tcPr>
          <w:p w14:paraId="3A6BE383"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92.02</w:t>
            </w:r>
          </w:p>
        </w:tc>
        <w:tc>
          <w:tcPr>
            <w:tcW w:w="856" w:type="dxa"/>
            <w:shd w:val="clear" w:color="auto" w:fill="auto"/>
            <w:vAlign w:val="bottom"/>
          </w:tcPr>
          <w:p w14:paraId="5803DCA0"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1.06</w:t>
            </w:r>
          </w:p>
        </w:tc>
      </w:tr>
      <w:tr w:rsidR="00067C34" w14:paraId="4C4171CE" w14:textId="77777777">
        <w:trPr>
          <w:trHeight w:val="186"/>
        </w:trPr>
        <w:tc>
          <w:tcPr>
            <w:tcW w:w="536" w:type="dxa"/>
          </w:tcPr>
          <w:p w14:paraId="06F0BD10"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9</w:t>
            </w:r>
          </w:p>
        </w:tc>
        <w:tc>
          <w:tcPr>
            <w:tcW w:w="5375" w:type="dxa"/>
            <w:shd w:val="clear" w:color="auto" w:fill="auto"/>
            <w:vAlign w:val="bottom"/>
          </w:tcPr>
          <w:p w14:paraId="5C91BCBE" w14:textId="77777777" w:rsidR="00067C34" w:rsidRDefault="00BA3CD1">
            <w:pPr>
              <w:rPr>
                <w:rFonts w:ascii="Arial" w:eastAsia="Arial" w:hAnsi="Arial" w:cs="Arial"/>
                <w:color w:val="000000"/>
                <w:sz w:val="18"/>
                <w:szCs w:val="18"/>
              </w:rPr>
            </w:pPr>
            <w:r>
              <w:rPr>
                <w:rFonts w:ascii="Arial" w:eastAsia="Arial" w:hAnsi="Arial" w:cs="Arial"/>
                <w:color w:val="000000"/>
                <w:sz w:val="18"/>
                <w:szCs w:val="18"/>
              </w:rPr>
              <w:t>Comisión para la Reconstrucción de la Ciudad de México.</w:t>
            </w:r>
          </w:p>
        </w:tc>
        <w:tc>
          <w:tcPr>
            <w:tcW w:w="1265" w:type="dxa"/>
            <w:shd w:val="clear" w:color="auto" w:fill="auto"/>
            <w:vAlign w:val="bottom"/>
          </w:tcPr>
          <w:p w14:paraId="5E02AC20"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62.49</w:t>
            </w:r>
          </w:p>
        </w:tc>
        <w:tc>
          <w:tcPr>
            <w:tcW w:w="1265" w:type="dxa"/>
            <w:shd w:val="clear" w:color="auto" w:fill="auto"/>
            <w:vAlign w:val="bottom"/>
          </w:tcPr>
          <w:p w14:paraId="27921F11"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80.67</w:t>
            </w:r>
          </w:p>
        </w:tc>
        <w:tc>
          <w:tcPr>
            <w:tcW w:w="856" w:type="dxa"/>
            <w:shd w:val="clear" w:color="auto" w:fill="auto"/>
            <w:vAlign w:val="bottom"/>
          </w:tcPr>
          <w:p w14:paraId="2BBEA80B" w14:textId="77777777" w:rsidR="00067C34" w:rsidRDefault="00BA3CD1">
            <w:pPr>
              <w:jc w:val="right"/>
              <w:rPr>
                <w:rFonts w:ascii="Arial" w:eastAsia="Arial" w:hAnsi="Arial" w:cs="Arial"/>
                <w:color w:val="000000"/>
                <w:sz w:val="18"/>
                <w:szCs w:val="18"/>
              </w:rPr>
            </w:pPr>
            <w:r>
              <w:rPr>
                <w:rFonts w:ascii="Arial" w:eastAsia="Arial" w:hAnsi="Arial" w:cs="Arial"/>
                <w:color w:val="000000"/>
                <w:sz w:val="18"/>
                <w:szCs w:val="18"/>
              </w:rPr>
              <w:t>18.18</w:t>
            </w:r>
          </w:p>
        </w:tc>
      </w:tr>
    </w:tbl>
    <w:p w14:paraId="05B7D471"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785D960A"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3951F72B"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1883F814"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w:t>
      </w:r>
      <w:r>
        <w:rPr>
          <w:rFonts w:ascii="Arial" w:eastAsia="Arial" w:hAnsi="Arial" w:cs="Arial"/>
          <w:color w:val="000000"/>
          <w:sz w:val="16"/>
          <w:szCs w:val="16"/>
        </w:rPr>
        <w:t>efiere a la información que se encuentra publicada y actualizada en la Plataforma Nacional de Transparencia (PNT) del sujeto obligado.</w:t>
      </w:r>
    </w:p>
    <w:p w14:paraId="19D0C75F" w14:textId="77777777" w:rsidR="00067C34" w:rsidRDefault="00067C34">
      <w:pPr>
        <w:jc w:val="both"/>
        <w:rPr>
          <w:rFonts w:ascii="Arial" w:eastAsia="Arial" w:hAnsi="Arial" w:cs="Arial"/>
          <w:color w:val="000000"/>
        </w:rPr>
      </w:pPr>
    </w:p>
    <w:p w14:paraId="797D5283"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Todos los sujetos que integran este ámbito atendieron las recomendaciones y observaciones emitidas en la Segunda Evaluación Vinculante 2020; los 5 que subsanaron a cabalidad las recomendaciones logrando un cumplimiento total de las obligaciones de transpar</w:t>
      </w:r>
      <w:r>
        <w:rPr>
          <w:rFonts w:ascii="Arial" w:eastAsia="Arial" w:hAnsi="Arial" w:cs="Arial"/>
          <w:color w:val="000000"/>
        </w:rPr>
        <w:t xml:space="preserve">encia, son: la Secretaría de Educación, Ciencia, Tecnología e Innovación, la Secretaría de Cultura, la Secretaría de Turismo, la Secretaría de las Mujeres y la Secretaría de Obras y Servicios. </w:t>
      </w:r>
    </w:p>
    <w:p w14:paraId="57D364F9"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No obstante, 4 sujetos obligados aún presentan áreas de oportu</w:t>
      </w:r>
      <w:r>
        <w:rPr>
          <w:rFonts w:ascii="Arial" w:eastAsia="Arial" w:hAnsi="Arial" w:cs="Arial"/>
          <w:color w:val="000000"/>
        </w:rPr>
        <w:t>nidad en la publicación y actualización de la información. Estos cuatro sujetos obligados se encuentran en esta Evaluación de Solventación con un IGOT superior a 80, en donde el más bajo es la Comisión para la Reconstrucción de la Ciudad de México con un I</w:t>
      </w:r>
      <w:r>
        <w:rPr>
          <w:rFonts w:ascii="Arial" w:eastAsia="Arial" w:hAnsi="Arial" w:cs="Arial"/>
          <w:color w:val="000000"/>
        </w:rPr>
        <w:t>GOT de 80.67 y el más alto es de la Secretaría del Medio Ambiente con un IGOT de 99.51.</w:t>
      </w:r>
    </w:p>
    <w:p w14:paraId="63D5882F" w14:textId="77777777" w:rsidR="00067C34" w:rsidRDefault="00067C34">
      <w:pPr>
        <w:jc w:val="both"/>
        <w:rPr>
          <w:rFonts w:ascii="Arial" w:eastAsia="Arial" w:hAnsi="Arial" w:cs="Arial"/>
          <w:color w:val="000000"/>
        </w:rPr>
      </w:pPr>
    </w:p>
    <w:p w14:paraId="11D66A37" w14:textId="77777777" w:rsidR="00067C34" w:rsidRDefault="00BA3CD1">
      <w:pPr>
        <w:jc w:val="both"/>
        <w:rPr>
          <w:rFonts w:ascii="Arial" w:eastAsia="Arial" w:hAnsi="Arial" w:cs="Arial"/>
          <w:color w:val="000000"/>
        </w:rPr>
      </w:pPr>
      <w:r>
        <w:rPr>
          <w:noProof/>
        </w:rPr>
        <w:drawing>
          <wp:inline distT="0" distB="0" distL="0" distR="0" wp14:anchorId="57050C7C" wp14:editId="77BCC437">
            <wp:extent cx="5768340" cy="3619500"/>
            <wp:effectExtent l="0" t="0" r="0" b="0"/>
            <wp:docPr id="1277849393" name="Gráfico 1277849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B56C1C" w14:textId="77777777" w:rsidR="00067C34" w:rsidRDefault="00067C34">
      <w:pPr>
        <w:spacing w:line="360" w:lineRule="auto"/>
        <w:jc w:val="both"/>
        <w:rPr>
          <w:rFonts w:ascii="Arial" w:eastAsia="Arial" w:hAnsi="Arial" w:cs="Arial"/>
          <w:color w:val="000000"/>
        </w:rPr>
      </w:pPr>
    </w:p>
    <w:p w14:paraId="70016DD9" w14:textId="77777777" w:rsidR="00067C34" w:rsidRDefault="00067C34">
      <w:pPr>
        <w:spacing w:line="360" w:lineRule="auto"/>
        <w:jc w:val="both"/>
        <w:rPr>
          <w:rFonts w:ascii="Arial" w:eastAsia="Arial" w:hAnsi="Arial" w:cs="Arial"/>
          <w:color w:val="000000"/>
        </w:rPr>
      </w:pPr>
    </w:p>
    <w:p w14:paraId="01E00B75"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Con relación a la Segunda Evaluación Vinculante 2020, este ámbito tuvo actualmente un incremento sustantivo, puesto que pasó de tener un IGOT de 90.2 a lograr 96.8, </w:t>
      </w:r>
      <w:r>
        <w:rPr>
          <w:rFonts w:ascii="Arial" w:eastAsia="Arial" w:hAnsi="Arial" w:cs="Arial"/>
        </w:rPr>
        <w:t xml:space="preserve">por lo que se encuentra en un cumplimiento parcial de las obligaciones de transparencia de </w:t>
      </w:r>
      <w:r>
        <w:rPr>
          <w:rFonts w:ascii="Arial" w:eastAsia="Arial" w:hAnsi="Arial" w:cs="Arial"/>
        </w:rPr>
        <w:t>la Ley de Transparencia local.</w:t>
      </w:r>
      <w:r>
        <w:rPr>
          <w:rFonts w:ascii="Arial" w:eastAsia="Arial" w:hAnsi="Arial" w:cs="Arial"/>
          <w:color w:val="000000"/>
        </w:rPr>
        <w:t xml:space="preserve"> Se percibe que este ámbito tuvo un aumento de 6.66 puntos dentro de su índice. </w:t>
      </w:r>
    </w:p>
    <w:p w14:paraId="0B243118" w14:textId="77777777" w:rsidR="00067C34" w:rsidRDefault="00067C34">
      <w:pPr>
        <w:spacing w:line="360" w:lineRule="auto"/>
        <w:jc w:val="both"/>
        <w:rPr>
          <w:rFonts w:ascii="Arial" w:eastAsia="Arial" w:hAnsi="Arial" w:cs="Arial"/>
          <w:color w:val="000000"/>
        </w:rPr>
      </w:pPr>
    </w:p>
    <w:p w14:paraId="067C11EF" w14:textId="77777777" w:rsidR="00067C34" w:rsidRDefault="00BA3CD1">
      <w:r>
        <w:br w:type="page"/>
      </w:r>
    </w:p>
    <w:p w14:paraId="60C8A85F" w14:textId="77777777" w:rsidR="00067C34" w:rsidRDefault="00BA3CD1">
      <w:pPr>
        <w:pStyle w:val="Ttulo1"/>
        <w:rPr>
          <w:rFonts w:ascii="Arial" w:eastAsia="Arial" w:hAnsi="Arial" w:cs="Arial"/>
          <w:b/>
          <w:color w:val="000000"/>
          <w:sz w:val="24"/>
          <w:szCs w:val="24"/>
        </w:rPr>
      </w:pPr>
      <w:bookmarkStart w:id="10" w:name="_heading=h.3o7alnk" w:colFirst="0" w:colLast="0"/>
      <w:bookmarkEnd w:id="10"/>
      <w:r>
        <w:rPr>
          <w:rFonts w:ascii="Arial" w:eastAsia="Arial" w:hAnsi="Arial" w:cs="Arial"/>
          <w:b/>
          <w:color w:val="000000"/>
          <w:sz w:val="24"/>
          <w:szCs w:val="24"/>
        </w:rPr>
        <w:t xml:space="preserve">ÓRGANOS DESCONCENTRADOS, DESCENTRALIZADOS, PARAESTATALES, AUXILIARES, FONDOS Y FIDEICOMISOS </w:t>
      </w:r>
    </w:p>
    <w:p w14:paraId="0CF03C0E" w14:textId="77777777" w:rsidR="00067C34" w:rsidRDefault="00067C34">
      <w:pPr>
        <w:rPr>
          <w:rFonts w:ascii="Arial" w:eastAsia="Arial" w:hAnsi="Arial" w:cs="Arial"/>
        </w:rPr>
      </w:pPr>
    </w:p>
    <w:p w14:paraId="773C951D" w14:textId="77777777" w:rsidR="00067C34" w:rsidRDefault="00BA3CD1">
      <w:pPr>
        <w:spacing w:line="360" w:lineRule="auto"/>
        <w:jc w:val="both"/>
        <w:rPr>
          <w:rFonts w:ascii="Arial" w:eastAsia="Arial" w:hAnsi="Arial" w:cs="Arial"/>
          <w:color w:val="000000"/>
        </w:rPr>
      </w:pPr>
      <w:r>
        <w:rPr>
          <w:rFonts w:ascii="Arial" w:eastAsia="Arial" w:hAnsi="Arial" w:cs="Arial"/>
        </w:rPr>
        <w:t>El ámbito de los órganos desconcentrados, descen</w:t>
      </w:r>
      <w:r>
        <w:rPr>
          <w:rFonts w:ascii="Arial" w:eastAsia="Arial" w:hAnsi="Arial" w:cs="Arial"/>
        </w:rPr>
        <w:t xml:space="preserve">tralizados, paraestatales, fondos y fideicomisos está integrado por 67 sujetos obligados, </w:t>
      </w:r>
      <w:r>
        <w:rPr>
          <w:rFonts w:ascii="Arial" w:eastAsia="Arial" w:hAnsi="Arial" w:cs="Arial"/>
          <w:color w:val="000000"/>
        </w:rPr>
        <w:t>de conformidad con el Padrón de sujetos obligados supeditados al cumplimiento de la Ley de Transparencia, Acceso a la Información Pública y Rendición de Cuentas de la</w:t>
      </w:r>
      <w:r>
        <w:rPr>
          <w:rFonts w:ascii="Arial" w:eastAsia="Arial" w:hAnsi="Arial" w:cs="Arial"/>
          <w:color w:val="000000"/>
        </w:rPr>
        <w:t xml:space="preserve"> Ciudad de México y de la Ley de Protección de Datos Personales en Posesión de los sujetos obligados de la Ciudad de México vigente.</w:t>
      </w:r>
    </w:p>
    <w:p w14:paraId="6A3163EE" w14:textId="77777777" w:rsidR="00067C34" w:rsidRDefault="00067C34">
      <w:pPr>
        <w:spacing w:line="360" w:lineRule="auto"/>
        <w:jc w:val="both"/>
        <w:rPr>
          <w:rFonts w:ascii="Arial" w:eastAsia="Arial" w:hAnsi="Arial" w:cs="Arial"/>
        </w:rPr>
      </w:pPr>
    </w:p>
    <w:p w14:paraId="03D39EF8" w14:textId="77777777" w:rsidR="00067C34" w:rsidRDefault="00BA3CD1">
      <w:pPr>
        <w:spacing w:line="360" w:lineRule="auto"/>
        <w:jc w:val="both"/>
        <w:rPr>
          <w:rFonts w:ascii="Arial" w:eastAsia="Arial" w:hAnsi="Arial" w:cs="Arial"/>
          <w:color w:val="000000"/>
        </w:rPr>
      </w:pPr>
      <w:r>
        <w:rPr>
          <w:rFonts w:ascii="Arial" w:eastAsia="Arial" w:hAnsi="Arial" w:cs="Arial"/>
          <w:color w:val="000000"/>
        </w:rPr>
        <w:t xml:space="preserve">De los </w:t>
      </w:r>
      <w:r>
        <w:rPr>
          <w:rFonts w:ascii="Arial" w:eastAsia="Arial" w:hAnsi="Arial" w:cs="Arial"/>
          <w:b/>
          <w:color w:val="000000"/>
        </w:rPr>
        <w:t>59 sujetos obligados</w:t>
      </w:r>
      <w:r>
        <w:rPr>
          <w:rFonts w:ascii="Arial" w:eastAsia="Arial" w:hAnsi="Arial" w:cs="Arial"/>
          <w:color w:val="000000"/>
        </w:rPr>
        <w:t xml:space="preserve"> que fueron evaluados derivado de las recomendaciones y observaciones realizadas a la Segunda E</w:t>
      </w:r>
      <w:r>
        <w:rPr>
          <w:rFonts w:ascii="Arial" w:eastAsia="Arial" w:hAnsi="Arial" w:cs="Arial"/>
          <w:color w:val="000000"/>
        </w:rPr>
        <w:t>valuación Vinculante 2020, 14 dieron cumplimiento total, 42 atendieron algunas observaciones y recomendaciones, pero siguen presentando áreas de oportunidad con relación a la publicación y actualización de la información y, 3 sujetos obligados no atendiero</w:t>
      </w:r>
      <w:r>
        <w:rPr>
          <w:rFonts w:ascii="Arial" w:eastAsia="Arial" w:hAnsi="Arial" w:cs="Arial"/>
          <w:color w:val="000000"/>
        </w:rPr>
        <w:t>n ninguna de las observaciones realizadas.</w:t>
      </w:r>
    </w:p>
    <w:p w14:paraId="68864D15" w14:textId="77777777" w:rsidR="00067C34" w:rsidRDefault="00067C34">
      <w:pPr>
        <w:spacing w:after="280" w:line="360" w:lineRule="auto"/>
        <w:jc w:val="both"/>
        <w:rPr>
          <w:rFonts w:ascii="Arial" w:eastAsia="Arial" w:hAnsi="Arial" w:cs="Arial"/>
          <w:color w:val="000000"/>
        </w:rPr>
      </w:pPr>
    </w:p>
    <w:p w14:paraId="0348194A" w14:textId="77777777" w:rsidR="00067C34" w:rsidRDefault="00BA3CD1">
      <w:pPr>
        <w:pStyle w:val="Ttulo2"/>
        <w:jc w:val="both"/>
        <w:rPr>
          <w:rFonts w:ascii="Arial" w:eastAsia="Arial" w:hAnsi="Arial" w:cs="Arial"/>
          <w:b/>
          <w:color w:val="000000"/>
          <w:sz w:val="24"/>
          <w:szCs w:val="24"/>
        </w:rPr>
      </w:pPr>
      <w:bookmarkStart w:id="11" w:name="_heading=h.23ckvvd" w:colFirst="0" w:colLast="0"/>
      <w:bookmarkEnd w:id="11"/>
      <w:r>
        <w:rPr>
          <w:rFonts w:ascii="Arial" w:eastAsia="Arial" w:hAnsi="Arial" w:cs="Arial"/>
          <w:b/>
          <w:color w:val="000000"/>
          <w:sz w:val="24"/>
          <w:szCs w:val="24"/>
        </w:rPr>
        <w:t>Análisis global de cumplimiento de los órganos desconcentrados, descentralizados, paraestatales, auxiliares, fondos y fideicomisos</w:t>
      </w:r>
    </w:p>
    <w:p w14:paraId="7FFEEC9E" w14:textId="77777777" w:rsidR="00067C34" w:rsidRDefault="00067C34"/>
    <w:p w14:paraId="71C86734" w14:textId="77777777" w:rsidR="00067C34" w:rsidRDefault="00BA3CD1">
      <w:pPr>
        <w:spacing w:before="280" w:after="280" w:line="360" w:lineRule="auto"/>
        <w:jc w:val="both"/>
        <w:rPr>
          <w:rFonts w:ascii="Arial" w:eastAsia="Arial" w:hAnsi="Arial" w:cs="Arial"/>
          <w:color w:val="000000"/>
          <w:u w:val="single"/>
        </w:rPr>
      </w:pPr>
      <w:r>
        <w:rPr>
          <w:rFonts w:ascii="Arial" w:eastAsia="Arial" w:hAnsi="Arial" w:cs="Arial"/>
          <w:color w:val="000000"/>
          <w:u w:val="single"/>
        </w:rPr>
        <w:t>Índices Globales de Cumplimiento de las obligaciones de transparencia</w:t>
      </w:r>
    </w:p>
    <w:p w14:paraId="302C25C3"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El ámbito </w:t>
      </w:r>
      <w:r>
        <w:rPr>
          <w:rFonts w:ascii="Arial" w:eastAsia="Arial" w:hAnsi="Arial" w:cs="Arial"/>
        </w:rPr>
        <w:t>de los órganos desconcentrados, fondos y fideicomisos obtuvo en la Tercera Evaluación Vinculante 2020 un IGOT de 86.1, compuesto por un índice promedio de 86.37 en lo que corresponde a la Plataforma Nacional de Transparencia (PNT) y un índice de 85.83 en l</w:t>
      </w:r>
      <w:r>
        <w:rPr>
          <w:rFonts w:ascii="Arial" w:eastAsia="Arial" w:hAnsi="Arial" w:cs="Arial"/>
        </w:rPr>
        <w:t>o que se refiere al Portal de Transparencia (PI).</w:t>
      </w:r>
    </w:p>
    <w:p w14:paraId="28B164A9"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A continuación, se presenta la relación de sujetos obligados, así como su Índice de cumplimiento de obligaciones de transparencia del Portal de Internet (IGOT-PI), el de la Plataforma Nacional de Transparen</w:t>
      </w:r>
      <w:r>
        <w:rPr>
          <w:rFonts w:ascii="Arial" w:eastAsia="Arial" w:hAnsi="Arial" w:cs="Arial"/>
          <w:color w:val="000000"/>
        </w:rPr>
        <w:t xml:space="preserve">cia (IGOT-PNT) y el Índice General de Cumplimiento de obligaciones de transparencia (IGOT), ordenados de forma descendente, respecto del IGOT: </w:t>
      </w:r>
    </w:p>
    <w:p w14:paraId="386F716D" w14:textId="77777777" w:rsidR="00067C34" w:rsidRDefault="00BA3CD1">
      <w:pPr>
        <w:spacing w:before="280"/>
        <w:jc w:val="both"/>
        <w:rPr>
          <w:rFonts w:ascii="Arial" w:eastAsia="Arial" w:hAnsi="Arial" w:cs="Arial"/>
          <w:b/>
          <w:color w:val="000000"/>
          <w:sz w:val="22"/>
          <w:szCs w:val="22"/>
        </w:rPr>
      </w:pPr>
      <w:r>
        <w:rPr>
          <w:rFonts w:ascii="Arial" w:eastAsia="Arial" w:hAnsi="Arial" w:cs="Arial"/>
          <w:b/>
          <w:color w:val="000000"/>
          <w:sz w:val="22"/>
          <w:szCs w:val="22"/>
        </w:rPr>
        <w:t>Comparativo de índices entre la Segunda Evaluación Vinculante 2020 y la Tercera Evaluación Vinculante 2020</w:t>
      </w:r>
    </w:p>
    <w:tbl>
      <w:tblPr>
        <w:tblStyle w:val="aff5"/>
        <w:tblW w:w="94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
        <w:gridCol w:w="6097"/>
        <w:gridCol w:w="885"/>
        <w:gridCol w:w="886"/>
        <w:gridCol w:w="1026"/>
      </w:tblGrid>
      <w:tr w:rsidR="00067C34" w14:paraId="49C90697" w14:textId="77777777">
        <w:trPr>
          <w:trHeight w:val="588"/>
        </w:trPr>
        <w:tc>
          <w:tcPr>
            <w:tcW w:w="594" w:type="dxa"/>
            <w:shd w:val="clear" w:color="auto" w:fill="F4B084"/>
            <w:vAlign w:val="center"/>
          </w:tcPr>
          <w:p w14:paraId="265F27C2"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6097" w:type="dxa"/>
            <w:shd w:val="clear" w:color="auto" w:fill="F4B084"/>
            <w:vAlign w:val="center"/>
          </w:tcPr>
          <w:p w14:paraId="2B850A0E"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885" w:type="dxa"/>
            <w:shd w:val="clear" w:color="auto" w:fill="F4B084"/>
            <w:vAlign w:val="center"/>
          </w:tcPr>
          <w:p w14:paraId="29DF86FD"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2da</w:t>
            </w:r>
          </w:p>
        </w:tc>
        <w:tc>
          <w:tcPr>
            <w:tcW w:w="886" w:type="dxa"/>
            <w:shd w:val="clear" w:color="auto" w:fill="F4B084"/>
            <w:vAlign w:val="center"/>
          </w:tcPr>
          <w:p w14:paraId="7F4A71D2"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1026" w:type="dxa"/>
            <w:shd w:val="clear" w:color="auto" w:fill="F4B084"/>
            <w:vAlign w:val="center"/>
          </w:tcPr>
          <w:p w14:paraId="65FD844A"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2B07F421" w14:textId="77777777">
        <w:trPr>
          <w:trHeight w:val="300"/>
        </w:trPr>
        <w:tc>
          <w:tcPr>
            <w:tcW w:w="594" w:type="dxa"/>
            <w:shd w:val="clear" w:color="auto" w:fill="auto"/>
            <w:vAlign w:val="bottom"/>
          </w:tcPr>
          <w:p w14:paraId="400EA46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w:t>
            </w:r>
          </w:p>
        </w:tc>
        <w:tc>
          <w:tcPr>
            <w:tcW w:w="6097" w:type="dxa"/>
            <w:shd w:val="clear" w:color="auto" w:fill="auto"/>
            <w:vAlign w:val="bottom"/>
          </w:tcPr>
          <w:p w14:paraId="0CC6ADB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Agencia Digital de Innovación Pública de la Ciudad de México.</w:t>
            </w:r>
          </w:p>
        </w:tc>
        <w:tc>
          <w:tcPr>
            <w:tcW w:w="885" w:type="dxa"/>
            <w:shd w:val="clear" w:color="auto" w:fill="auto"/>
            <w:vAlign w:val="bottom"/>
          </w:tcPr>
          <w:p w14:paraId="3D02D6D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87.35</w:t>
            </w:r>
          </w:p>
        </w:tc>
        <w:tc>
          <w:tcPr>
            <w:tcW w:w="886" w:type="dxa"/>
            <w:shd w:val="clear" w:color="auto" w:fill="auto"/>
            <w:vAlign w:val="bottom"/>
          </w:tcPr>
          <w:p w14:paraId="30F9BB8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779BB1F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12.65</w:t>
            </w:r>
          </w:p>
        </w:tc>
      </w:tr>
      <w:tr w:rsidR="00067C34" w14:paraId="406832E6" w14:textId="77777777">
        <w:trPr>
          <w:trHeight w:val="300"/>
        </w:trPr>
        <w:tc>
          <w:tcPr>
            <w:tcW w:w="594" w:type="dxa"/>
            <w:shd w:val="clear" w:color="auto" w:fill="auto"/>
            <w:vAlign w:val="bottom"/>
          </w:tcPr>
          <w:p w14:paraId="6B2D58E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w:t>
            </w:r>
          </w:p>
        </w:tc>
        <w:tc>
          <w:tcPr>
            <w:tcW w:w="6097" w:type="dxa"/>
            <w:shd w:val="clear" w:color="auto" w:fill="auto"/>
            <w:vAlign w:val="bottom"/>
          </w:tcPr>
          <w:p w14:paraId="45B8514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Autoridad del Centro Histórico.</w:t>
            </w:r>
          </w:p>
        </w:tc>
        <w:tc>
          <w:tcPr>
            <w:tcW w:w="885" w:type="dxa"/>
            <w:shd w:val="clear" w:color="auto" w:fill="auto"/>
            <w:vAlign w:val="bottom"/>
          </w:tcPr>
          <w:p w14:paraId="4B124BC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99.81</w:t>
            </w:r>
          </w:p>
        </w:tc>
        <w:tc>
          <w:tcPr>
            <w:tcW w:w="886" w:type="dxa"/>
            <w:shd w:val="clear" w:color="auto" w:fill="auto"/>
            <w:vAlign w:val="bottom"/>
          </w:tcPr>
          <w:p w14:paraId="17F22CB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40A977D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0.19</w:t>
            </w:r>
          </w:p>
        </w:tc>
      </w:tr>
      <w:tr w:rsidR="00067C34" w14:paraId="44846651" w14:textId="77777777">
        <w:trPr>
          <w:trHeight w:val="300"/>
        </w:trPr>
        <w:tc>
          <w:tcPr>
            <w:tcW w:w="594" w:type="dxa"/>
            <w:shd w:val="clear" w:color="auto" w:fill="auto"/>
            <w:vAlign w:val="bottom"/>
          </w:tcPr>
          <w:p w14:paraId="787584A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w:t>
            </w:r>
          </w:p>
        </w:tc>
        <w:tc>
          <w:tcPr>
            <w:tcW w:w="6097" w:type="dxa"/>
            <w:shd w:val="clear" w:color="auto" w:fill="auto"/>
            <w:vAlign w:val="bottom"/>
          </w:tcPr>
          <w:p w14:paraId="4F70135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Capacitación para el Trabajo de la Ciudad de México.</w:t>
            </w:r>
          </w:p>
        </w:tc>
        <w:tc>
          <w:tcPr>
            <w:tcW w:w="885" w:type="dxa"/>
            <w:shd w:val="clear" w:color="auto" w:fill="auto"/>
            <w:vAlign w:val="bottom"/>
          </w:tcPr>
          <w:p w14:paraId="19A24AC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63.28</w:t>
            </w:r>
          </w:p>
        </w:tc>
        <w:tc>
          <w:tcPr>
            <w:tcW w:w="886" w:type="dxa"/>
            <w:shd w:val="clear" w:color="auto" w:fill="auto"/>
            <w:vAlign w:val="bottom"/>
          </w:tcPr>
          <w:p w14:paraId="021B257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6678D4B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36.72</w:t>
            </w:r>
          </w:p>
        </w:tc>
      </w:tr>
      <w:tr w:rsidR="00067C34" w14:paraId="68D0F076" w14:textId="77777777">
        <w:trPr>
          <w:trHeight w:val="300"/>
        </w:trPr>
        <w:tc>
          <w:tcPr>
            <w:tcW w:w="594" w:type="dxa"/>
            <w:shd w:val="clear" w:color="auto" w:fill="auto"/>
            <w:vAlign w:val="bottom"/>
          </w:tcPr>
          <w:p w14:paraId="2655FE0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w:t>
            </w:r>
          </w:p>
        </w:tc>
        <w:tc>
          <w:tcPr>
            <w:tcW w:w="6097" w:type="dxa"/>
            <w:shd w:val="clear" w:color="auto" w:fill="auto"/>
            <w:vAlign w:val="bottom"/>
          </w:tcPr>
          <w:p w14:paraId="4BFE384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del Deporte de la Ciudad de México.</w:t>
            </w:r>
          </w:p>
        </w:tc>
        <w:tc>
          <w:tcPr>
            <w:tcW w:w="885" w:type="dxa"/>
            <w:shd w:val="clear" w:color="auto" w:fill="auto"/>
            <w:vAlign w:val="bottom"/>
          </w:tcPr>
          <w:p w14:paraId="72C1629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97.88</w:t>
            </w:r>
          </w:p>
        </w:tc>
        <w:tc>
          <w:tcPr>
            <w:tcW w:w="886" w:type="dxa"/>
            <w:shd w:val="clear" w:color="auto" w:fill="auto"/>
            <w:vAlign w:val="bottom"/>
          </w:tcPr>
          <w:p w14:paraId="7FF1200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6066F4F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2.12</w:t>
            </w:r>
          </w:p>
        </w:tc>
      </w:tr>
      <w:tr w:rsidR="00067C34" w14:paraId="0A4A13F9" w14:textId="77777777">
        <w:trPr>
          <w:trHeight w:val="300"/>
        </w:trPr>
        <w:tc>
          <w:tcPr>
            <w:tcW w:w="594" w:type="dxa"/>
            <w:shd w:val="clear" w:color="auto" w:fill="auto"/>
            <w:vAlign w:val="bottom"/>
          </w:tcPr>
          <w:p w14:paraId="32A5D04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w:t>
            </w:r>
          </w:p>
        </w:tc>
        <w:tc>
          <w:tcPr>
            <w:tcW w:w="6097" w:type="dxa"/>
            <w:shd w:val="clear" w:color="auto" w:fill="auto"/>
            <w:vAlign w:val="bottom"/>
          </w:tcPr>
          <w:p w14:paraId="1E3540B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Metrobús.</w:t>
            </w:r>
          </w:p>
        </w:tc>
        <w:tc>
          <w:tcPr>
            <w:tcW w:w="885" w:type="dxa"/>
            <w:shd w:val="clear" w:color="auto" w:fill="auto"/>
            <w:vAlign w:val="bottom"/>
          </w:tcPr>
          <w:p w14:paraId="7BFF7F8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76.76</w:t>
            </w:r>
          </w:p>
        </w:tc>
        <w:tc>
          <w:tcPr>
            <w:tcW w:w="886" w:type="dxa"/>
            <w:shd w:val="clear" w:color="auto" w:fill="auto"/>
            <w:vAlign w:val="bottom"/>
          </w:tcPr>
          <w:p w14:paraId="13CCEF0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37F9EEC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23.24</w:t>
            </w:r>
          </w:p>
        </w:tc>
      </w:tr>
      <w:tr w:rsidR="00067C34" w14:paraId="5E242072" w14:textId="77777777">
        <w:trPr>
          <w:trHeight w:val="300"/>
        </w:trPr>
        <w:tc>
          <w:tcPr>
            <w:tcW w:w="594" w:type="dxa"/>
            <w:shd w:val="clear" w:color="auto" w:fill="auto"/>
            <w:vAlign w:val="bottom"/>
          </w:tcPr>
          <w:p w14:paraId="56ECFC7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w:t>
            </w:r>
          </w:p>
        </w:tc>
        <w:tc>
          <w:tcPr>
            <w:tcW w:w="6097" w:type="dxa"/>
            <w:shd w:val="clear" w:color="auto" w:fill="auto"/>
            <w:vAlign w:val="bottom"/>
          </w:tcPr>
          <w:p w14:paraId="5C9E463B"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Policía Auxiliar.</w:t>
            </w:r>
          </w:p>
        </w:tc>
        <w:tc>
          <w:tcPr>
            <w:tcW w:w="885" w:type="dxa"/>
            <w:shd w:val="clear" w:color="auto" w:fill="auto"/>
            <w:vAlign w:val="bottom"/>
          </w:tcPr>
          <w:p w14:paraId="3EF93FF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82.38</w:t>
            </w:r>
          </w:p>
        </w:tc>
        <w:tc>
          <w:tcPr>
            <w:tcW w:w="886" w:type="dxa"/>
            <w:shd w:val="clear" w:color="auto" w:fill="auto"/>
            <w:vAlign w:val="bottom"/>
          </w:tcPr>
          <w:p w14:paraId="7B16D9B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36AB212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17.62</w:t>
            </w:r>
          </w:p>
        </w:tc>
      </w:tr>
      <w:tr w:rsidR="00067C34" w14:paraId="4843294A" w14:textId="77777777">
        <w:trPr>
          <w:trHeight w:val="300"/>
        </w:trPr>
        <w:tc>
          <w:tcPr>
            <w:tcW w:w="594" w:type="dxa"/>
            <w:shd w:val="clear" w:color="auto" w:fill="auto"/>
            <w:vAlign w:val="bottom"/>
          </w:tcPr>
          <w:p w14:paraId="2AFDAD9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w:t>
            </w:r>
          </w:p>
        </w:tc>
        <w:tc>
          <w:tcPr>
            <w:tcW w:w="6097" w:type="dxa"/>
            <w:shd w:val="clear" w:color="auto" w:fill="auto"/>
            <w:vAlign w:val="bottom"/>
          </w:tcPr>
          <w:p w14:paraId="60F9ADE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Procuraduría Ambiental y del Ordenamiento Territorial de la Ciudad de México.</w:t>
            </w:r>
          </w:p>
        </w:tc>
        <w:tc>
          <w:tcPr>
            <w:tcW w:w="885" w:type="dxa"/>
            <w:shd w:val="clear" w:color="auto" w:fill="auto"/>
            <w:vAlign w:val="bottom"/>
          </w:tcPr>
          <w:p w14:paraId="659189A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93.36</w:t>
            </w:r>
          </w:p>
        </w:tc>
        <w:tc>
          <w:tcPr>
            <w:tcW w:w="886" w:type="dxa"/>
            <w:shd w:val="clear" w:color="auto" w:fill="auto"/>
            <w:vAlign w:val="bottom"/>
          </w:tcPr>
          <w:p w14:paraId="1B59B1F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5B0E223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6.64</w:t>
            </w:r>
          </w:p>
        </w:tc>
      </w:tr>
      <w:tr w:rsidR="00067C34" w14:paraId="1A87303E" w14:textId="77777777">
        <w:trPr>
          <w:trHeight w:val="300"/>
        </w:trPr>
        <w:tc>
          <w:tcPr>
            <w:tcW w:w="594" w:type="dxa"/>
            <w:shd w:val="clear" w:color="auto" w:fill="auto"/>
            <w:vAlign w:val="bottom"/>
          </w:tcPr>
          <w:p w14:paraId="5393D42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w:t>
            </w:r>
          </w:p>
        </w:tc>
        <w:tc>
          <w:tcPr>
            <w:tcW w:w="6097" w:type="dxa"/>
            <w:shd w:val="clear" w:color="auto" w:fill="auto"/>
            <w:vAlign w:val="bottom"/>
          </w:tcPr>
          <w:p w14:paraId="693E8E9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Sistema de Aguas de la Ciudad de México.</w:t>
            </w:r>
          </w:p>
        </w:tc>
        <w:tc>
          <w:tcPr>
            <w:tcW w:w="885" w:type="dxa"/>
            <w:shd w:val="clear" w:color="auto" w:fill="auto"/>
            <w:vAlign w:val="bottom"/>
          </w:tcPr>
          <w:p w14:paraId="1FF1406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96.46</w:t>
            </w:r>
          </w:p>
        </w:tc>
        <w:tc>
          <w:tcPr>
            <w:tcW w:w="886" w:type="dxa"/>
            <w:shd w:val="clear" w:color="auto" w:fill="auto"/>
            <w:vAlign w:val="bottom"/>
          </w:tcPr>
          <w:p w14:paraId="05415BF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37718EF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3.54</w:t>
            </w:r>
          </w:p>
        </w:tc>
      </w:tr>
      <w:tr w:rsidR="00067C34" w14:paraId="01D1D660" w14:textId="77777777">
        <w:trPr>
          <w:trHeight w:val="300"/>
        </w:trPr>
        <w:tc>
          <w:tcPr>
            <w:tcW w:w="594" w:type="dxa"/>
            <w:shd w:val="clear" w:color="auto" w:fill="auto"/>
            <w:vAlign w:val="bottom"/>
          </w:tcPr>
          <w:p w14:paraId="4F52741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w:t>
            </w:r>
          </w:p>
        </w:tc>
        <w:tc>
          <w:tcPr>
            <w:tcW w:w="6097" w:type="dxa"/>
            <w:shd w:val="clear" w:color="auto" w:fill="auto"/>
            <w:vAlign w:val="bottom"/>
          </w:tcPr>
          <w:p w14:paraId="293B9D3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Sistema para el Desarrollo Integral de la Familia de la Ciudad de México.</w:t>
            </w:r>
          </w:p>
        </w:tc>
        <w:tc>
          <w:tcPr>
            <w:tcW w:w="885" w:type="dxa"/>
            <w:shd w:val="clear" w:color="auto" w:fill="auto"/>
            <w:vAlign w:val="bottom"/>
          </w:tcPr>
          <w:p w14:paraId="6F0A6C0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98.99</w:t>
            </w:r>
          </w:p>
        </w:tc>
        <w:tc>
          <w:tcPr>
            <w:tcW w:w="886" w:type="dxa"/>
            <w:shd w:val="clear" w:color="auto" w:fill="auto"/>
            <w:vAlign w:val="bottom"/>
          </w:tcPr>
          <w:p w14:paraId="7DDEC20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65C641A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1.01</w:t>
            </w:r>
          </w:p>
        </w:tc>
      </w:tr>
      <w:tr w:rsidR="00067C34" w14:paraId="74B8B944" w14:textId="77777777">
        <w:trPr>
          <w:trHeight w:val="300"/>
        </w:trPr>
        <w:tc>
          <w:tcPr>
            <w:tcW w:w="594" w:type="dxa"/>
            <w:shd w:val="clear" w:color="auto" w:fill="auto"/>
            <w:vAlign w:val="bottom"/>
          </w:tcPr>
          <w:p w14:paraId="6A19DC8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w:t>
            </w:r>
          </w:p>
        </w:tc>
        <w:tc>
          <w:tcPr>
            <w:tcW w:w="6097" w:type="dxa"/>
            <w:shd w:val="clear" w:color="auto" w:fill="auto"/>
            <w:vAlign w:val="bottom"/>
          </w:tcPr>
          <w:p w14:paraId="7D2DA44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Agencia de Atención Animal.</w:t>
            </w:r>
          </w:p>
        </w:tc>
        <w:tc>
          <w:tcPr>
            <w:tcW w:w="885" w:type="dxa"/>
            <w:shd w:val="clear" w:color="auto" w:fill="auto"/>
            <w:vAlign w:val="bottom"/>
          </w:tcPr>
          <w:p w14:paraId="5B03E69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88.97</w:t>
            </w:r>
          </w:p>
        </w:tc>
        <w:tc>
          <w:tcPr>
            <w:tcW w:w="886" w:type="dxa"/>
            <w:shd w:val="clear" w:color="auto" w:fill="auto"/>
            <w:vAlign w:val="bottom"/>
          </w:tcPr>
          <w:p w14:paraId="3FB34FD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5D0A71B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11.03</w:t>
            </w:r>
          </w:p>
        </w:tc>
      </w:tr>
      <w:tr w:rsidR="00067C34" w14:paraId="4768D664" w14:textId="77777777">
        <w:trPr>
          <w:trHeight w:val="300"/>
        </w:trPr>
        <w:tc>
          <w:tcPr>
            <w:tcW w:w="594" w:type="dxa"/>
            <w:shd w:val="clear" w:color="auto" w:fill="auto"/>
            <w:vAlign w:val="bottom"/>
          </w:tcPr>
          <w:p w14:paraId="6DA84C5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11</w:t>
            </w:r>
          </w:p>
        </w:tc>
        <w:tc>
          <w:tcPr>
            <w:tcW w:w="6097" w:type="dxa"/>
            <w:shd w:val="clear" w:color="auto" w:fill="auto"/>
            <w:vAlign w:val="bottom"/>
          </w:tcPr>
          <w:p w14:paraId="6C86133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Caja de Previsión de la Policía Preventiva de la Ciudad de México.</w:t>
            </w:r>
          </w:p>
        </w:tc>
        <w:tc>
          <w:tcPr>
            <w:tcW w:w="885" w:type="dxa"/>
            <w:shd w:val="clear" w:color="auto" w:fill="auto"/>
            <w:vAlign w:val="bottom"/>
          </w:tcPr>
          <w:p w14:paraId="6E9B8B2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97.57</w:t>
            </w:r>
          </w:p>
        </w:tc>
        <w:tc>
          <w:tcPr>
            <w:tcW w:w="886" w:type="dxa"/>
            <w:shd w:val="clear" w:color="auto" w:fill="auto"/>
            <w:vAlign w:val="bottom"/>
          </w:tcPr>
          <w:p w14:paraId="603557B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7972E28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2.43</w:t>
            </w:r>
          </w:p>
        </w:tc>
      </w:tr>
      <w:tr w:rsidR="00067C34" w14:paraId="50AC4BB7" w14:textId="77777777">
        <w:trPr>
          <w:trHeight w:val="300"/>
        </w:trPr>
        <w:tc>
          <w:tcPr>
            <w:tcW w:w="594" w:type="dxa"/>
            <w:shd w:val="clear" w:color="auto" w:fill="auto"/>
            <w:vAlign w:val="bottom"/>
          </w:tcPr>
          <w:p w14:paraId="1BF59EA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12</w:t>
            </w:r>
          </w:p>
        </w:tc>
        <w:tc>
          <w:tcPr>
            <w:tcW w:w="6097" w:type="dxa"/>
            <w:shd w:val="clear" w:color="auto" w:fill="auto"/>
            <w:vAlign w:val="bottom"/>
          </w:tcPr>
          <w:p w14:paraId="38D47530"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Consejo para Prevenir y Eliminar la Discriminación en la Ciudad de México.</w:t>
            </w:r>
          </w:p>
        </w:tc>
        <w:tc>
          <w:tcPr>
            <w:tcW w:w="885" w:type="dxa"/>
            <w:shd w:val="clear" w:color="auto" w:fill="auto"/>
            <w:vAlign w:val="bottom"/>
          </w:tcPr>
          <w:p w14:paraId="49A08A5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94.35</w:t>
            </w:r>
          </w:p>
        </w:tc>
        <w:tc>
          <w:tcPr>
            <w:tcW w:w="886" w:type="dxa"/>
            <w:shd w:val="clear" w:color="auto" w:fill="auto"/>
            <w:vAlign w:val="bottom"/>
          </w:tcPr>
          <w:p w14:paraId="2EE794D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05455A7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5.65</w:t>
            </w:r>
          </w:p>
        </w:tc>
      </w:tr>
      <w:tr w:rsidR="00067C34" w14:paraId="4A0DA0E0" w14:textId="77777777">
        <w:trPr>
          <w:trHeight w:val="300"/>
        </w:trPr>
        <w:tc>
          <w:tcPr>
            <w:tcW w:w="594" w:type="dxa"/>
            <w:shd w:val="clear" w:color="auto" w:fill="auto"/>
            <w:vAlign w:val="bottom"/>
          </w:tcPr>
          <w:p w14:paraId="7CE1861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13</w:t>
            </w:r>
          </w:p>
        </w:tc>
        <w:tc>
          <w:tcPr>
            <w:tcW w:w="6097" w:type="dxa"/>
            <w:shd w:val="clear" w:color="auto" w:fill="auto"/>
            <w:vAlign w:val="bottom"/>
          </w:tcPr>
          <w:p w14:paraId="72E12B2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Formación Profesional.</w:t>
            </w:r>
          </w:p>
        </w:tc>
        <w:tc>
          <w:tcPr>
            <w:tcW w:w="885" w:type="dxa"/>
            <w:shd w:val="clear" w:color="auto" w:fill="auto"/>
            <w:vAlign w:val="bottom"/>
          </w:tcPr>
          <w:p w14:paraId="4341E72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95.45</w:t>
            </w:r>
          </w:p>
        </w:tc>
        <w:tc>
          <w:tcPr>
            <w:tcW w:w="886" w:type="dxa"/>
            <w:shd w:val="clear" w:color="auto" w:fill="auto"/>
            <w:vAlign w:val="bottom"/>
          </w:tcPr>
          <w:p w14:paraId="524E084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16A16E3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4.55</w:t>
            </w:r>
          </w:p>
        </w:tc>
      </w:tr>
      <w:tr w:rsidR="00067C34" w14:paraId="2538751B" w14:textId="77777777">
        <w:trPr>
          <w:trHeight w:val="300"/>
        </w:trPr>
        <w:tc>
          <w:tcPr>
            <w:tcW w:w="594" w:type="dxa"/>
            <w:shd w:val="clear" w:color="auto" w:fill="auto"/>
            <w:vAlign w:val="bottom"/>
          </w:tcPr>
          <w:p w14:paraId="07E17F0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14</w:t>
            </w:r>
          </w:p>
        </w:tc>
        <w:tc>
          <w:tcPr>
            <w:tcW w:w="6097" w:type="dxa"/>
            <w:shd w:val="clear" w:color="auto" w:fill="auto"/>
            <w:vAlign w:val="bottom"/>
          </w:tcPr>
          <w:p w14:paraId="70D203BB"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Universidad de la Policía de la Ciudad de México.</w:t>
            </w:r>
          </w:p>
        </w:tc>
        <w:tc>
          <w:tcPr>
            <w:tcW w:w="885" w:type="dxa"/>
            <w:shd w:val="clear" w:color="auto" w:fill="auto"/>
            <w:vAlign w:val="bottom"/>
          </w:tcPr>
          <w:p w14:paraId="43E609E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98.90</w:t>
            </w:r>
          </w:p>
        </w:tc>
        <w:tc>
          <w:tcPr>
            <w:tcW w:w="886" w:type="dxa"/>
            <w:shd w:val="clear" w:color="auto" w:fill="auto"/>
            <w:vAlign w:val="bottom"/>
          </w:tcPr>
          <w:p w14:paraId="6B15DAC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026" w:type="dxa"/>
            <w:shd w:val="clear" w:color="auto" w:fill="auto"/>
            <w:vAlign w:val="bottom"/>
          </w:tcPr>
          <w:p w14:paraId="4076B63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1.10</w:t>
            </w:r>
          </w:p>
        </w:tc>
      </w:tr>
      <w:tr w:rsidR="00067C34" w14:paraId="423458EC" w14:textId="77777777">
        <w:trPr>
          <w:trHeight w:val="300"/>
        </w:trPr>
        <w:tc>
          <w:tcPr>
            <w:tcW w:w="594" w:type="dxa"/>
            <w:shd w:val="clear" w:color="auto" w:fill="auto"/>
            <w:vAlign w:val="bottom"/>
          </w:tcPr>
          <w:p w14:paraId="01F1579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15</w:t>
            </w:r>
          </w:p>
        </w:tc>
        <w:tc>
          <w:tcPr>
            <w:tcW w:w="6097" w:type="dxa"/>
            <w:shd w:val="clear" w:color="auto" w:fill="auto"/>
            <w:vAlign w:val="bottom"/>
          </w:tcPr>
          <w:p w14:paraId="22B9F9F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Servicio de Transportes Eléctricos de la Ciudad de México.</w:t>
            </w:r>
          </w:p>
        </w:tc>
        <w:tc>
          <w:tcPr>
            <w:tcW w:w="885" w:type="dxa"/>
            <w:shd w:val="clear" w:color="auto" w:fill="auto"/>
            <w:vAlign w:val="bottom"/>
          </w:tcPr>
          <w:p w14:paraId="53B78F3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97.98</w:t>
            </w:r>
          </w:p>
        </w:tc>
        <w:tc>
          <w:tcPr>
            <w:tcW w:w="886" w:type="dxa"/>
            <w:shd w:val="clear" w:color="auto" w:fill="auto"/>
            <w:vAlign w:val="bottom"/>
          </w:tcPr>
          <w:p w14:paraId="43FD0B1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99.96</w:t>
            </w:r>
          </w:p>
        </w:tc>
        <w:tc>
          <w:tcPr>
            <w:tcW w:w="1026" w:type="dxa"/>
            <w:shd w:val="clear" w:color="auto" w:fill="auto"/>
            <w:vAlign w:val="bottom"/>
          </w:tcPr>
          <w:p w14:paraId="5D9F455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1.98</w:t>
            </w:r>
          </w:p>
        </w:tc>
      </w:tr>
      <w:tr w:rsidR="00067C34" w14:paraId="614E20CD" w14:textId="77777777">
        <w:trPr>
          <w:trHeight w:val="300"/>
        </w:trPr>
        <w:tc>
          <w:tcPr>
            <w:tcW w:w="594" w:type="dxa"/>
            <w:shd w:val="clear" w:color="auto" w:fill="auto"/>
            <w:vAlign w:val="bottom"/>
          </w:tcPr>
          <w:p w14:paraId="6D443DA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16</w:t>
            </w:r>
          </w:p>
        </w:tc>
        <w:tc>
          <w:tcPr>
            <w:tcW w:w="6097" w:type="dxa"/>
            <w:shd w:val="clear" w:color="auto" w:fill="auto"/>
            <w:vAlign w:val="bottom"/>
          </w:tcPr>
          <w:p w14:paraId="6DFE53C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Policía Bancaria e Industrial.</w:t>
            </w:r>
          </w:p>
        </w:tc>
        <w:tc>
          <w:tcPr>
            <w:tcW w:w="885" w:type="dxa"/>
            <w:shd w:val="clear" w:color="auto" w:fill="auto"/>
            <w:vAlign w:val="bottom"/>
          </w:tcPr>
          <w:p w14:paraId="50E031E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77.73</w:t>
            </w:r>
          </w:p>
        </w:tc>
        <w:tc>
          <w:tcPr>
            <w:tcW w:w="886" w:type="dxa"/>
            <w:shd w:val="clear" w:color="auto" w:fill="auto"/>
            <w:vAlign w:val="bottom"/>
          </w:tcPr>
          <w:p w14:paraId="43E6A76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99.89</w:t>
            </w:r>
          </w:p>
        </w:tc>
        <w:tc>
          <w:tcPr>
            <w:tcW w:w="1026" w:type="dxa"/>
            <w:shd w:val="clear" w:color="auto" w:fill="auto"/>
            <w:vAlign w:val="bottom"/>
          </w:tcPr>
          <w:p w14:paraId="02B127B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22.16</w:t>
            </w:r>
          </w:p>
        </w:tc>
      </w:tr>
      <w:tr w:rsidR="00067C34" w14:paraId="42C7E946" w14:textId="77777777">
        <w:trPr>
          <w:trHeight w:val="300"/>
        </w:trPr>
        <w:tc>
          <w:tcPr>
            <w:tcW w:w="594" w:type="dxa"/>
            <w:shd w:val="clear" w:color="auto" w:fill="auto"/>
            <w:vAlign w:val="bottom"/>
          </w:tcPr>
          <w:p w14:paraId="0D4D399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17</w:t>
            </w:r>
          </w:p>
        </w:tc>
        <w:tc>
          <w:tcPr>
            <w:tcW w:w="6097" w:type="dxa"/>
            <w:shd w:val="clear" w:color="auto" w:fill="auto"/>
            <w:vAlign w:val="bottom"/>
          </w:tcPr>
          <w:p w14:paraId="66A6E33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Fondo para el Desarrollo Social de la Ciudad de México.</w:t>
            </w:r>
          </w:p>
        </w:tc>
        <w:tc>
          <w:tcPr>
            <w:tcW w:w="885" w:type="dxa"/>
            <w:shd w:val="clear" w:color="auto" w:fill="auto"/>
            <w:vAlign w:val="bottom"/>
          </w:tcPr>
          <w:p w14:paraId="2B66B56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89.01</w:t>
            </w:r>
          </w:p>
        </w:tc>
        <w:tc>
          <w:tcPr>
            <w:tcW w:w="886" w:type="dxa"/>
            <w:shd w:val="clear" w:color="auto" w:fill="auto"/>
            <w:vAlign w:val="bottom"/>
          </w:tcPr>
          <w:p w14:paraId="1E49174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99.86</w:t>
            </w:r>
          </w:p>
        </w:tc>
        <w:tc>
          <w:tcPr>
            <w:tcW w:w="1026" w:type="dxa"/>
            <w:shd w:val="clear" w:color="auto" w:fill="auto"/>
            <w:vAlign w:val="bottom"/>
          </w:tcPr>
          <w:p w14:paraId="750E5B0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10.85</w:t>
            </w:r>
          </w:p>
        </w:tc>
      </w:tr>
      <w:tr w:rsidR="00067C34" w14:paraId="722E5B62" w14:textId="77777777">
        <w:trPr>
          <w:trHeight w:val="300"/>
        </w:trPr>
        <w:tc>
          <w:tcPr>
            <w:tcW w:w="594" w:type="dxa"/>
            <w:shd w:val="clear" w:color="auto" w:fill="auto"/>
            <w:vAlign w:val="bottom"/>
          </w:tcPr>
          <w:p w14:paraId="0A4CFD7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18</w:t>
            </w:r>
          </w:p>
        </w:tc>
        <w:tc>
          <w:tcPr>
            <w:tcW w:w="6097" w:type="dxa"/>
            <w:shd w:val="clear" w:color="auto" w:fill="auto"/>
            <w:vAlign w:val="bottom"/>
          </w:tcPr>
          <w:p w14:paraId="46A4B2AB"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Servicios de Salud Pública de la Ciudad de México.</w:t>
            </w:r>
          </w:p>
        </w:tc>
        <w:tc>
          <w:tcPr>
            <w:tcW w:w="885" w:type="dxa"/>
            <w:shd w:val="clear" w:color="auto" w:fill="auto"/>
            <w:vAlign w:val="bottom"/>
          </w:tcPr>
          <w:p w14:paraId="37672E4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98.92</w:t>
            </w:r>
          </w:p>
        </w:tc>
        <w:tc>
          <w:tcPr>
            <w:tcW w:w="886" w:type="dxa"/>
            <w:shd w:val="clear" w:color="auto" w:fill="auto"/>
            <w:vAlign w:val="bottom"/>
          </w:tcPr>
          <w:p w14:paraId="0C68143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99.21</w:t>
            </w:r>
          </w:p>
        </w:tc>
        <w:tc>
          <w:tcPr>
            <w:tcW w:w="1026" w:type="dxa"/>
            <w:shd w:val="clear" w:color="auto" w:fill="auto"/>
            <w:vAlign w:val="bottom"/>
          </w:tcPr>
          <w:p w14:paraId="0FDB7BF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0.29</w:t>
            </w:r>
          </w:p>
        </w:tc>
      </w:tr>
      <w:tr w:rsidR="00067C34" w14:paraId="2150550C" w14:textId="77777777">
        <w:trPr>
          <w:trHeight w:val="300"/>
        </w:trPr>
        <w:tc>
          <w:tcPr>
            <w:tcW w:w="594" w:type="dxa"/>
            <w:shd w:val="clear" w:color="auto" w:fill="auto"/>
            <w:vAlign w:val="bottom"/>
          </w:tcPr>
          <w:p w14:paraId="7774BD7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19</w:t>
            </w:r>
          </w:p>
        </w:tc>
        <w:tc>
          <w:tcPr>
            <w:tcW w:w="6097" w:type="dxa"/>
            <w:shd w:val="clear" w:color="auto" w:fill="auto"/>
            <w:vAlign w:val="bottom"/>
          </w:tcPr>
          <w:p w14:paraId="5494F8E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Junta de Asistencia Privada de la Ciudad de México.</w:t>
            </w:r>
          </w:p>
        </w:tc>
        <w:tc>
          <w:tcPr>
            <w:tcW w:w="885" w:type="dxa"/>
            <w:shd w:val="clear" w:color="auto" w:fill="auto"/>
            <w:vAlign w:val="bottom"/>
          </w:tcPr>
          <w:p w14:paraId="721DE08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65.12</w:t>
            </w:r>
          </w:p>
        </w:tc>
        <w:tc>
          <w:tcPr>
            <w:tcW w:w="886" w:type="dxa"/>
            <w:shd w:val="clear" w:color="auto" w:fill="auto"/>
            <w:vAlign w:val="bottom"/>
          </w:tcPr>
          <w:p w14:paraId="7F3B8BB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99.15</w:t>
            </w:r>
          </w:p>
        </w:tc>
        <w:tc>
          <w:tcPr>
            <w:tcW w:w="1026" w:type="dxa"/>
            <w:shd w:val="clear" w:color="auto" w:fill="auto"/>
            <w:vAlign w:val="bottom"/>
          </w:tcPr>
          <w:p w14:paraId="2A6C8C5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34.03</w:t>
            </w:r>
          </w:p>
        </w:tc>
      </w:tr>
      <w:tr w:rsidR="00067C34" w14:paraId="1F627F0D" w14:textId="77777777">
        <w:trPr>
          <w:trHeight w:val="300"/>
        </w:trPr>
        <w:tc>
          <w:tcPr>
            <w:tcW w:w="594" w:type="dxa"/>
            <w:shd w:val="clear" w:color="auto" w:fill="auto"/>
            <w:vAlign w:val="bottom"/>
          </w:tcPr>
          <w:p w14:paraId="21DB81B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20</w:t>
            </w:r>
          </w:p>
        </w:tc>
        <w:tc>
          <w:tcPr>
            <w:tcW w:w="6097" w:type="dxa"/>
            <w:shd w:val="clear" w:color="auto" w:fill="auto"/>
            <w:vAlign w:val="bottom"/>
          </w:tcPr>
          <w:p w14:paraId="7D0CAAA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Educación Media Superior de la Ciudad de México.</w:t>
            </w:r>
          </w:p>
        </w:tc>
        <w:tc>
          <w:tcPr>
            <w:tcW w:w="885" w:type="dxa"/>
            <w:shd w:val="clear" w:color="auto" w:fill="auto"/>
            <w:vAlign w:val="bottom"/>
          </w:tcPr>
          <w:p w14:paraId="69FB28E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89.91</w:t>
            </w:r>
          </w:p>
        </w:tc>
        <w:tc>
          <w:tcPr>
            <w:tcW w:w="886" w:type="dxa"/>
            <w:shd w:val="clear" w:color="auto" w:fill="auto"/>
            <w:vAlign w:val="bottom"/>
          </w:tcPr>
          <w:p w14:paraId="635CD8C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98.98</w:t>
            </w:r>
          </w:p>
        </w:tc>
        <w:tc>
          <w:tcPr>
            <w:tcW w:w="1026" w:type="dxa"/>
            <w:shd w:val="clear" w:color="auto" w:fill="auto"/>
            <w:vAlign w:val="bottom"/>
          </w:tcPr>
          <w:p w14:paraId="7BF5CA6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9.07</w:t>
            </w:r>
          </w:p>
        </w:tc>
      </w:tr>
      <w:tr w:rsidR="00067C34" w14:paraId="1778C978" w14:textId="77777777">
        <w:trPr>
          <w:trHeight w:val="300"/>
        </w:trPr>
        <w:tc>
          <w:tcPr>
            <w:tcW w:w="594" w:type="dxa"/>
            <w:shd w:val="clear" w:color="auto" w:fill="auto"/>
            <w:vAlign w:val="bottom"/>
          </w:tcPr>
          <w:p w14:paraId="20B0E10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21</w:t>
            </w:r>
          </w:p>
        </w:tc>
        <w:tc>
          <w:tcPr>
            <w:tcW w:w="6097" w:type="dxa"/>
            <w:shd w:val="clear" w:color="auto" w:fill="auto"/>
            <w:vAlign w:val="bottom"/>
          </w:tcPr>
          <w:p w14:paraId="3CB5921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Consejo de Evaluación del Desarrollo Social de la Ciudad de México.</w:t>
            </w:r>
          </w:p>
        </w:tc>
        <w:tc>
          <w:tcPr>
            <w:tcW w:w="885" w:type="dxa"/>
            <w:shd w:val="clear" w:color="auto" w:fill="auto"/>
            <w:vAlign w:val="bottom"/>
          </w:tcPr>
          <w:p w14:paraId="1CB1B62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77.92</w:t>
            </w:r>
          </w:p>
        </w:tc>
        <w:tc>
          <w:tcPr>
            <w:tcW w:w="886" w:type="dxa"/>
            <w:shd w:val="clear" w:color="auto" w:fill="auto"/>
            <w:vAlign w:val="bottom"/>
          </w:tcPr>
          <w:p w14:paraId="68A5A21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98.95</w:t>
            </w:r>
          </w:p>
        </w:tc>
        <w:tc>
          <w:tcPr>
            <w:tcW w:w="1026" w:type="dxa"/>
            <w:shd w:val="clear" w:color="auto" w:fill="auto"/>
            <w:vAlign w:val="bottom"/>
          </w:tcPr>
          <w:p w14:paraId="35479DA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21.04</w:t>
            </w:r>
          </w:p>
        </w:tc>
      </w:tr>
      <w:tr w:rsidR="00067C34" w14:paraId="5E14039D" w14:textId="77777777">
        <w:trPr>
          <w:trHeight w:val="300"/>
        </w:trPr>
        <w:tc>
          <w:tcPr>
            <w:tcW w:w="594" w:type="dxa"/>
            <w:shd w:val="clear" w:color="auto" w:fill="auto"/>
            <w:vAlign w:val="bottom"/>
          </w:tcPr>
          <w:p w14:paraId="0FD5CF5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22</w:t>
            </w:r>
          </w:p>
        </w:tc>
        <w:tc>
          <w:tcPr>
            <w:tcW w:w="6097" w:type="dxa"/>
            <w:shd w:val="clear" w:color="auto" w:fill="auto"/>
            <w:vAlign w:val="bottom"/>
          </w:tcPr>
          <w:p w14:paraId="1880392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Fondo Ambiental Público de la Ciudad de México.</w:t>
            </w:r>
          </w:p>
        </w:tc>
        <w:tc>
          <w:tcPr>
            <w:tcW w:w="885" w:type="dxa"/>
            <w:shd w:val="clear" w:color="auto" w:fill="auto"/>
            <w:vAlign w:val="bottom"/>
          </w:tcPr>
          <w:p w14:paraId="0A1CC93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93.41</w:t>
            </w:r>
          </w:p>
        </w:tc>
        <w:tc>
          <w:tcPr>
            <w:tcW w:w="886" w:type="dxa"/>
            <w:shd w:val="clear" w:color="auto" w:fill="auto"/>
            <w:vAlign w:val="bottom"/>
          </w:tcPr>
          <w:p w14:paraId="0D5FD9C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98.91</w:t>
            </w:r>
          </w:p>
        </w:tc>
        <w:tc>
          <w:tcPr>
            <w:tcW w:w="1026" w:type="dxa"/>
            <w:shd w:val="clear" w:color="auto" w:fill="auto"/>
            <w:vAlign w:val="bottom"/>
          </w:tcPr>
          <w:p w14:paraId="3131C9B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5.50</w:t>
            </w:r>
          </w:p>
        </w:tc>
      </w:tr>
      <w:tr w:rsidR="00067C34" w14:paraId="3608AF70" w14:textId="77777777">
        <w:trPr>
          <w:trHeight w:val="300"/>
        </w:trPr>
        <w:tc>
          <w:tcPr>
            <w:tcW w:w="594" w:type="dxa"/>
            <w:shd w:val="clear" w:color="auto" w:fill="auto"/>
            <w:vAlign w:val="bottom"/>
          </w:tcPr>
          <w:p w14:paraId="40DB763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23</w:t>
            </w:r>
          </w:p>
        </w:tc>
        <w:tc>
          <w:tcPr>
            <w:tcW w:w="6097" w:type="dxa"/>
            <w:shd w:val="clear" w:color="auto" w:fill="auto"/>
            <w:vAlign w:val="bottom"/>
          </w:tcPr>
          <w:p w14:paraId="3E5360E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Fondo para la Atención y Apoyo a las Víctimas del Delito.</w:t>
            </w:r>
          </w:p>
        </w:tc>
        <w:tc>
          <w:tcPr>
            <w:tcW w:w="885" w:type="dxa"/>
            <w:shd w:val="clear" w:color="auto" w:fill="auto"/>
            <w:vAlign w:val="bottom"/>
          </w:tcPr>
          <w:p w14:paraId="1FB8F22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73.81</w:t>
            </w:r>
          </w:p>
        </w:tc>
        <w:tc>
          <w:tcPr>
            <w:tcW w:w="886" w:type="dxa"/>
            <w:shd w:val="clear" w:color="auto" w:fill="auto"/>
            <w:vAlign w:val="bottom"/>
          </w:tcPr>
          <w:p w14:paraId="152EAE8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98.56</w:t>
            </w:r>
          </w:p>
        </w:tc>
        <w:tc>
          <w:tcPr>
            <w:tcW w:w="1026" w:type="dxa"/>
            <w:shd w:val="clear" w:color="auto" w:fill="auto"/>
            <w:vAlign w:val="bottom"/>
          </w:tcPr>
          <w:p w14:paraId="3AE9CA7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24.76</w:t>
            </w:r>
          </w:p>
        </w:tc>
      </w:tr>
      <w:tr w:rsidR="00067C34" w14:paraId="105049C0" w14:textId="77777777">
        <w:trPr>
          <w:trHeight w:val="300"/>
        </w:trPr>
        <w:tc>
          <w:tcPr>
            <w:tcW w:w="594" w:type="dxa"/>
            <w:shd w:val="clear" w:color="auto" w:fill="auto"/>
            <w:vAlign w:val="bottom"/>
          </w:tcPr>
          <w:p w14:paraId="063F39B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24</w:t>
            </w:r>
          </w:p>
        </w:tc>
        <w:tc>
          <w:tcPr>
            <w:tcW w:w="6097" w:type="dxa"/>
            <w:shd w:val="clear" w:color="auto" w:fill="auto"/>
            <w:vAlign w:val="bottom"/>
          </w:tcPr>
          <w:p w14:paraId="4296467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Caja de Previsión para Trabajadores a Lista de Raya de la Ciudad de México.</w:t>
            </w:r>
          </w:p>
        </w:tc>
        <w:tc>
          <w:tcPr>
            <w:tcW w:w="885" w:type="dxa"/>
            <w:shd w:val="clear" w:color="auto" w:fill="auto"/>
            <w:vAlign w:val="bottom"/>
          </w:tcPr>
          <w:p w14:paraId="1A1A68C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97.29</w:t>
            </w:r>
          </w:p>
        </w:tc>
        <w:tc>
          <w:tcPr>
            <w:tcW w:w="886" w:type="dxa"/>
            <w:shd w:val="clear" w:color="auto" w:fill="auto"/>
            <w:vAlign w:val="bottom"/>
          </w:tcPr>
          <w:p w14:paraId="02314A9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98.34</w:t>
            </w:r>
          </w:p>
        </w:tc>
        <w:tc>
          <w:tcPr>
            <w:tcW w:w="1026" w:type="dxa"/>
            <w:shd w:val="clear" w:color="auto" w:fill="auto"/>
            <w:vAlign w:val="bottom"/>
          </w:tcPr>
          <w:p w14:paraId="38076F9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1.06</w:t>
            </w:r>
          </w:p>
        </w:tc>
      </w:tr>
      <w:tr w:rsidR="00067C34" w14:paraId="4C827B1C" w14:textId="77777777">
        <w:trPr>
          <w:trHeight w:val="300"/>
        </w:trPr>
        <w:tc>
          <w:tcPr>
            <w:tcW w:w="594" w:type="dxa"/>
            <w:shd w:val="clear" w:color="auto" w:fill="auto"/>
            <w:vAlign w:val="bottom"/>
          </w:tcPr>
          <w:p w14:paraId="732A121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25</w:t>
            </w:r>
          </w:p>
        </w:tc>
        <w:tc>
          <w:tcPr>
            <w:tcW w:w="6097" w:type="dxa"/>
            <w:shd w:val="clear" w:color="auto" w:fill="auto"/>
            <w:vAlign w:val="bottom"/>
          </w:tcPr>
          <w:p w14:paraId="3004867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de Recuperación Crediticia de la Ciudad de México.</w:t>
            </w:r>
          </w:p>
        </w:tc>
        <w:tc>
          <w:tcPr>
            <w:tcW w:w="885" w:type="dxa"/>
            <w:shd w:val="clear" w:color="auto" w:fill="auto"/>
            <w:vAlign w:val="bottom"/>
          </w:tcPr>
          <w:p w14:paraId="38A7978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90.06</w:t>
            </w:r>
          </w:p>
        </w:tc>
        <w:tc>
          <w:tcPr>
            <w:tcW w:w="886" w:type="dxa"/>
            <w:shd w:val="clear" w:color="auto" w:fill="auto"/>
            <w:vAlign w:val="bottom"/>
          </w:tcPr>
          <w:p w14:paraId="106C685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96.40</w:t>
            </w:r>
          </w:p>
        </w:tc>
        <w:tc>
          <w:tcPr>
            <w:tcW w:w="1026" w:type="dxa"/>
            <w:shd w:val="clear" w:color="auto" w:fill="auto"/>
            <w:vAlign w:val="bottom"/>
          </w:tcPr>
          <w:p w14:paraId="29EB8CB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6.34</w:t>
            </w:r>
          </w:p>
        </w:tc>
      </w:tr>
      <w:tr w:rsidR="00067C34" w14:paraId="48127949" w14:textId="77777777">
        <w:trPr>
          <w:trHeight w:val="300"/>
        </w:trPr>
        <w:tc>
          <w:tcPr>
            <w:tcW w:w="594" w:type="dxa"/>
            <w:shd w:val="clear" w:color="auto" w:fill="auto"/>
            <w:vAlign w:val="bottom"/>
          </w:tcPr>
          <w:p w14:paraId="44B9BC3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26</w:t>
            </w:r>
          </w:p>
        </w:tc>
        <w:tc>
          <w:tcPr>
            <w:tcW w:w="6097" w:type="dxa"/>
            <w:shd w:val="clear" w:color="auto" w:fill="auto"/>
            <w:vAlign w:val="bottom"/>
          </w:tcPr>
          <w:p w14:paraId="247631B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Corporación Mexicana de Impresión, S.A. de C.V.</w:t>
            </w:r>
          </w:p>
        </w:tc>
        <w:tc>
          <w:tcPr>
            <w:tcW w:w="885" w:type="dxa"/>
            <w:shd w:val="clear" w:color="auto" w:fill="auto"/>
            <w:vAlign w:val="bottom"/>
          </w:tcPr>
          <w:p w14:paraId="655D377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81.18</w:t>
            </w:r>
          </w:p>
        </w:tc>
        <w:tc>
          <w:tcPr>
            <w:tcW w:w="886" w:type="dxa"/>
            <w:shd w:val="clear" w:color="auto" w:fill="auto"/>
            <w:vAlign w:val="bottom"/>
          </w:tcPr>
          <w:p w14:paraId="44263DE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96.38</w:t>
            </w:r>
          </w:p>
        </w:tc>
        <w:tc>
          <w:tcPr>
            <w:tcW w:w="1026" w:type="dxa"/>
            <w:shd w:val="clear" w:color="auto" w:fill="auto"/>
            <w:vAlign w:val="bottom"/>
          </w:tcPr>
          <w:p w14:paraId="0A21A70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15.20</w:t>
            </w:r>
          </w:p>
        </w:tc>
      </w:tr>
      <w:tr w:rsidR="00067C34" w14:paraId="11B962C1" w14:textId="77777777">
        <w:trPr>
          <w:trHeight w:val="300"/>
        </w:trPr>
        <w:tc>
          <w:tcPr>
            <w:tcW w:w="594" w:type="dxa"/>
            <w:shd w:val="clear" w:color="auto" w:fill="auto"/>
            <w:vAlign w:val="bottom"/>
          </w:tcPr>
          <w:p w14:paraId="07C3BE0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27</w:t>
            </w:r>
          </w:p>
        </w:tc>
        <w:tc>
          <w:tcPr>
            <w:tcW w:w="6097" w:type="dxa"/>
            <w:shd w:val="clear" w:color="auto" w:fill="auto"/>
            <w:vAlign w:val="bottom"/>
          </w:tcPr>
          <w:p w14:paraId="7B5D406B"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Sistema de Transporte Colectivo.</w:t>
            </w:r>
          </w:p>
        </w:tc>
        <w:tc>
          <w:tcPr>
            <w:tcW w:w="885" w:type="dxa"/>
            <w:shd w:val="clear" w:color="auto" w:fill="auto"/>
            <w:vAlign w:val="bottom"/>
          </w:tcPr>
          <w:p w14:paraId="437D461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90.85</w:t>
            </w:r>
          </w:p>
        </w:tc>
        <w:tc>
          <w:tcPr>
            <w:tcW w:w="886" w:type="dxa"/>
            <w:shd w:val="clear" w:color="auto" w:fill="auto"/>
            <w:vAlign w:val="bottom"/>
          </w:tcPr>
          <w:p w14:paraId="37F634D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96.32</w:t>
            </w:r>
          </w:p>
        </w:tc>
        <w:tc>
          <w:tcPr>
            <w:tcW w:w="1026" w:type="dxa"/>
            <w:shd w:val="clear" w:color="auto" w:fill="auto"/>
            <w:vAlign w:val="bottom"/>
          </w:tcPr>
          <w:p w14:paraId="7B55480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5.47</w:t>
            </w:r>
          </w:p>
        </w:tc>
      </w:tr>
      <w:tr w:rsidR="00067C34" w14:paraId="792A80A3" w14:textId="77777777">
        <w:trPr>
          <w:trHeight w:val="300"/>
        </w:trPr>
        <w:tc>
          <w:tcPr>
            <w:tcW w:w="594" w:type="dxa"/>
            <w:shd w:val="clear" w:color="auto" w:fill="auto"/>
            <w:vAlign w:val="bottom"/>
          </w:tcPr>
          <w:p w14:paraId="100E45B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28</w:t>
            </w:r>
          </w:p>
        </w:tc>
        <w:tc>
          <w:tcPr>
            <w:tcW w:w="6097" w:type="dxa"/>
            <w:shd w:val="clear" w:color="auto" w:fill="auto"/>
            <w:vAlign w:val="bottom"/>
          </w:tcPr>
          <w:p w14:paraId="0E95D29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Consejo Económico y Social de la Ciudad de México.</w:t>
            </w:r>
          </w:p>
        </w:tc>
        <w:tc>
          <w:tcPr>
            <w:tcW w:w="885" w:type="dxa"/>
            <w:shd w:val="clear" w:color="auto" w:fill="auto"/>
            <w:vAlign w:val="bottom"/>
          </w:tcPr>
          <w:p w14:paraId="24BC41B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39.05</w:t>
            </w:r>
          </w:p>
        </w:tc>
        <w:tc>
          <w:tcPr>
            <w:tcW w:w="886" w:type="dxa"/>
            <w:shd w:val="clear" w:color="auto" w:fill="auto"/>
            <w:vAlign w:val="bottom"/>
          </w:tcPr>
          <w:p w14:paraId="6532146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95.92</w:t>
            </w:r>
          </w:p>
        </w:tc>
        <w:tc>
          <w:tcPr>
            <w:tcW w:w="1026" w:type="dxa"/>
            <w:shd w:val="clear" w:color="auto" w:fill="auto"/>
            <w:vAlign w:val="bottom"/>
          </w:tcPr>
          <w:p w14:paraId="4D455DC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56.87</w:t>
            </w:r>
          </w:p>
        </w:tc>
      </w:tr>
      <w:tr w:rsidR="00067C34" w14:paraId="7F570824" w14:textId="77777777">
        <w:trPr>
          <w:trHeight w:val="300"/>
        </w:trPr>
        <w:tc>
          <w:tcPr>
            <w:tcW w:w="594" w:type="dxa"/>
            <w:shd w:val="clear" w:color="auto" w:fill="auto"/>
            <w:vAlign w:val="bottom"/>
          </w:tcPr>
          <w:p w14:paraId="6E95F10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29</w:t>
            </w:r>
          </w:p>
        </w:tc>
        <w:tc>
          <w:tcPr>
            <w:tcW w:w="6097" w:type="dxa"/>
            <w:shd w:val="clear" w:color="auto" w:fill="auto"/>
            <w:vAlign w:val="bottom"/>
          </w:tcPr>
          <w:p w14:paraId="094BED6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Educación Garantizada de la Ciudad de México.</w:t>
            </w:r>
          </w:p>
        </w:tc>
        <w:tc>
          <w:tcPr>
            <w:tcW w:w="885" w:type="dxa"/>
            <w:shd w:val="clear" w:color="auto" w:fill="auto"/>
            <w:vAlign w:val="bottom"/>
          </w:tcPr>
          <w:p w14:paraId="40DFAF9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93.40</w:t>
            </w:r>
          </w:p>
        </w:tc>
        <w:tc>
          <w:tcPr>
            <w:tcW w:w="886" w:type="dxa"/>
            <w:shd w:val="clear" w:color="auto" w:fill="auto"/>
            <w:vAlign w:val="bottom"/>
          </w:tcPr>
          <w:p w14:paraId="605FCA2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95.84</w:t>
            </w:r>
          </w:p>
        </w:tc>
        <w:tc>
          <w:tcPr>
            <w:tcW w:w="1026" w:type="dxa"/>
            <w:shd w:val="clear" w:color="auto" w:fill="auto"/>
            <w:vAlign w:val="bottom"/>
          </w:tcPr>
          <w:p w14:paraId="55DC4BD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2.44</w:t>
            </w:r>
          </w:p>
        </w:tc>
      </w:tr>
      <w:tr w:rsidR="00067C34" w14:paraId="2E8FA0E5" w14:textId="77777777">
        <w:trPr>
          <w:trHeight w:val="300"/>
        </w:trPr>
        <w:tc>
          <w:tcPr>
            <w:tcW w:w="594" w:type="dxa"/>
            <w:shd w:val="clear" w:color="auto" w:fill="auto"/>
            <w:vAlign w:val="bottom"/>
          </w:tcPr>
          <w:p w14:paraId="48E0496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30</w:t>
            </w:r>
          </w:p>
        </w:tc>
        <w:tc>
          <w:tcPr>
            <w:tcW w:w="6097" w:type="dxa"/>
            <w:shd w:val="clear" w:color="auto" w:fill="auto"/>
            <w:vAlign w:val="bottom"/>
          </w:tcPr>
          <w:p w14:paraId="5F6C1BA0"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Órgano Regulador de Transporte.</w:t>
            </w:r>
          </w:p>
        </w:tc>
        <w:tc>
          <w:tcPr>
            <w:tcW w:w="885" w:type="dxa"/>
            <w:shd w:val="clear" w:color="auto" w:fill="auto"/>
            <w:vAlign w:val="bottom"/>
          </w:tcPr>
          <w:p w14:paraId="516CBFF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76.79</w:t>
            </w:r>
          </w:p>
        </w:tc>
        <w:tc>
          <w:tcPr>
            <w:tcW w:w="886" w:type="dxa"/>
            <w:shd w:val="clear" w:color="auto" w:fill="auto"/>
            <w:vAlign w:val="bottom"/>
          </w:tcPr>
          <w:p w14:paraId="540D1D5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95.80</w:t>
            </w:r>
          </w:p>
        </w:tc>
        <w:tc>
          <w:tcPr>
            <w:tcW w:w="1026" w:type="dxa"/>
            <w:shd w:val="clear" w:color="auto" w:fill="auto"/>
            <w:vAlign w:val="bottom"/>
          </w:tcPr>
          <w:p w14:paraId="162BEF7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19.01</w:t>
            </w:r>
          </w:p>
        </w:tc>
      </w:tr>
      <w:tr w:rsidR="00067C34" w14:paraId="5F128B22" w14:textId="77777777">
        <w:trPr>
          <w:trHeight w:val="300"/>
        </w:trPr>
        <w:tc>
          <w:tcPr>
            <w:tcW w:w="594" w:type="dxa"/>
            <w:shd w:val="clear" w:color="auto" w:fill="auto"/>
            <w:vAlign w:val="bottom"/>
          </w:tcPr>
          <w:p w14:paraId="571C4F2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31</w:t>
            </w:r>
          </w:p>
        </w:tc>
        <w:tc>
          <w:tcPr>
            <w:tcW w:w="6097" w:type="dxa"/>
            <w:shd w:val="clear" w:color="auto" w:fill="auto"/>
            <w:vAlign w:val="bottom"/>
          </w:tcPr>
          <w:p w14:paraId="74155C7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Fondo de Desarrollo Económico de la Ciudad de México.</w:t>
            </w:r>
          </w:p>
        </w:tc>
        <w:tc>
          <w:tcPr>
            <w:tcW w:w="885" w:type="dxa"/>
            <w:shd w:val="clear" w:color="auto" w:fill="auto"/>
            <w:vAlign w:val="bottom"/>
          </w:tcPr>
          <w:p w14:paraId="72891E2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83.16</w:t>
            </w:r>
          </w:p>
        </w:tc>
        <w:tc>
          <w:tcPr>
            <w:tcW w:w="886" w:type="dxa"/>
            <w:shd w:val="clear" w:color="auto" w:fill="auto"/>
            <w:vAlign w:val="bottom"/>
          </w:tcPr>
          <w:p w14:paraId="11562DE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95.18</w:t>
            </w:r>
          </w:p>
        </w:tc>
        <w:tc>
          <w:tcPr>
            <w:tcW w:w="1026" w:type="dxa"/>
            <w:shd w:val="clear" w:color="auto" w:fill="auto"/>
            <w:vAlign w:val="bottom"/>
          </w:tcPr>
          <w:p w14:paraId="322C0D9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12.02</w:t>
            </w:r>
          </w:p>
        </w:tc>
      </w:tr>
      <w:tr w:rsidR="00067C34" w14:paraId="05ACA8E2" w14:textId="77777777">
        <w:trPr>
          <w:trHeight w:val="300"/>
        </w:trPr>
        <w:tc>
          <w:tcPr>
            <w:tcW w:w="594" w:type="dxa"/>
            <w:shd w:val="clear" w:color="auto" w:fill="auto"/>
            <w:vAlign w:val="bottom"/>
          </w:tcPr>
          <w:p w14:paraId="65708E6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32</w:t>
            </w:r>
          </w:p>
        </w:tc>
        <w:tc>
          <w:tcPr>
            <w:tcW w:w="6097" w:type="dxa"/>
            <w:shd w:val="clear" w:color="auto" w:fill="auto"/>
            <w:vAlign w:val="bottom"/>
          </w:tcPr>
          <w:p w14:paraId="2A14440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Fondo para el Desarrollo Económico y Social de la Ciudad de México.</w:t>
            </w:r>
          </w:p>
        </w:tc>
        <w:tc>
          <w:tcPr>
            <w:tcW w:w="885" w:type="dxa"/>
            <w:shd w:val="clear" w:color="auto" w:fill="auto"/>
            <w:vAlign w:val="bottom"/>
          </w:tcPr>
          <w:p w14:paraId="6682EAB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65.68</w:t>
            </w:r>
          </w:p>
        </w:tc>
        <w:tc>
          <w:tcPr>
            <w:tcW w:w="886" w:type="dxa"/>
            <w:shd w:val="clear" w:color="auto" w:fill="auto"/>
            <w:vAlign w:val="bottom"/>
          </w:tcPr>
          <w:p w14:paraId="4772E8A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93.22</w:t>
            </w:r>
          </w:p>
        </w:tc>
        <w:tc>
          <w:tcPr>
            <w:tcW w:w="1026" w:type="dxa"/>
            <w:shd w:val="clear" w:color="auto" w:fill="auto"/>
            <w:vAlign w:val="bottom"/>
          </w:tcPr>
          <w:p w14:paraId="1E53889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27.54</w:t>
            </w:r>
          </w:p>
        </w:tc>
      </w:tr>
      <w:tr w:rsidR="00067C34" w14:paraId="2DAC242B" w14:textId="77777777">
        <w:trPr>
          <w:trHeight w:val="300"/>
        </w:trPr>
        <w:tc>
          <w:tcPr>
            <w:tcW w:w="594" w:type="dxa"/>
            <w:shd w:val="clear" w:color="auto" w:fill="auto"/>
            <w:vAlign w:val="bottom"/>
          </w:tcPr>
          <w:p w14:paraId="4BD7A24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33</w:t>
            </w:r>
          </w:p>
        </w:tc>
        <w:tc>
          <w:tcPr>
            <w:tcW w:w="6097" w:type="dxa"/>
            <w:shd w:val="clear" w:color="auto" w:fill="auto"/>
            <w:vAlign w:val="bottom"/>
          </w:tcPr>
          <w:p w14:paraId="2A790570"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PROCDMX, S.A. de C.V.</w:t>
            </w:r>
          </w:p>
        </w:tc>
        <w:tc>
          <w:tcPr>
            <w:tcW w:w="885" w:type="dxa"/>
            <w:shd w:val="clear" w:color="auto" w:fill="auto"/>
            <w:vAlign w:val="bottom"/>
          </w:tcPr>
          <w:p w14:paraId="7FD2616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81.74</w:t>
            </w:r>
          </w:p>
        </w:tc>
        <w:tc>
          <w:tcPr>
            <w:tcW w:w="886" w:type="dxa"/>
            <w:shd w:val="clear" w:color="auto" w:fill="auto"/>
            <w:vAlign w:val="bottom"/>
          </w:tcPr>
          <w:p w14:paraId="44EF330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92.64</w:t>
            </w:r>
          </w:p>
        </w:tc>
        <w:tc>
          <w:tcPr>
            <w:tcW w:w="1026" w:type="dxa"/>
            <w:shd w:val="clear" w:color="auto" w:fill="auto"/>
            <w:vAlign w:val="bottom"/>
          </w:tcPr>
          <w:p w14:paraId="2784D35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10.90</w:t>
            </w:r>
          </w:p>
        </w:tc>
      </w:tr>
      <w:tr w:rsidR="00067C34" w14:paraId="51BE9A8B" w14:textId="77777777">
        <w:trPr>
          <w:trHeight w:val="300"/>
        </w:trPr>
        <w:tc>
          <w:tcPr>
            <w:tcW w:w="594" w:type="dxa"/>
            <w:shd w:val="clear" w:color="auto" w:fill="auto"/>
            <w:vAlign w:val="bottom"/>
          </w:tcPr>
          <w:p w14:paraId="3FF4599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34</w:t>
            </w:r>
          </w:p>
        </w:tc>
        <w:tc>
          <w:tcPr>
            <w:tcW w:w="6097" w:type="dxa"/>
            <w:shd w:val="clear" w:color="auto" w:fill="auto"/>
            <w:vAlign w:val="bottom"/>
          </w:tcPr>
          <w:p w14:paraId="1C1ECDA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Local de la Infraestructura Física Educativa de la Ciudad de México.</w:t>
            </w:r>
          </w:p>
        </w:tc>
        <w:tc>
          <w:tcPr>
            <w:tcW w:w="885" w:type="dxa"/>
            <w:shd w:val="clear" w:color="auto" w:fill="auto"/>
            <w:vAlign w:val="bottom"/>
          </w:tcPr>
          <w:p w14:paraId="64C35B0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77.60</w:t>
            </w:r>
          </w:p>
        </w:tc>
        <w:tc>
          <w:tcPr>
            <w:tcW w:w="886" w:type="dxa"/>
            <w:shd w:val="clear" w:color="auto" w:fill="auto"/>
            <w:vAlign w:val="bottom"/>
          </w:tcPr>
          <w:p w14:paraId="3588D91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92.59</w:t>
            </w:r>
          </w:p>
        </w:tc>
        <w:tc>
          <w:tcPr>
            <w:tcW w:w="1026" w:type="dxa"/>
            <w:shd w:val="clear" w:color="auto" w:fill="auto"/>
            <w:vAlign w:val="bottom"/>
          </w:tcPr>
          <w:p w14:paraId="5DFD194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14.98</w:t>
            </w:r>
          </w:p>
        </w:tc>
      </w:tr>
      <w:tr w:rsidR="00067C34" w14:paraId="3374BAA9" w14:textId="77777777">
        <w:trPr>
          <w:trHeight w:val="300"/>
        </w:trPr>
        <w:tc>
          <w:tcPr>
            <w:tcW w:w="594" w:type="dxa"/>
            <w:shd w:val="clear" w:color="auto" w:fill="auto"/>
            <w:vAlign w:val="bottom"/>
          </w:tcPr>
          <w:p w14:paraId="183BAEB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35</w:t>
            </w:r>
          </w:p>
        </w:tc>
        <w:tc>
          <w:tcPr>
            <w:tcW w:w="6097" w:type="dxa"/>
            <w:shd w:val="clear" w:color="auto" w:fill="auto"/>
            <w:vAlign w:val="bottom"/>
          </w:tcPr>
          <w:p w14:paraId="44AABC1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Vivienda de la Ciudad de México.</w:t>
            </w:r>
          </w:p>
        </w:tc>
        <w:tc>
          <w:tcPr>
            <w:tcW w:w="885" w:type="dxa"/>
            <w:shd w:val="clear" w:color="auto" w:fill="auto"/>
            <w:vAlign w:val="bottom"/>
          </w:tcPr>
          <w:p w14:paraId="64FE596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74.11</w:t>
            </w:r>
          </w:p>
        </w:tc>
        <w:tc>
          <w:tcPr>
            <w:tcW w:w="886" w:type="dxa"/>
            <w:shd w:val="clear" w:color="auto" w:fill="auto"/>
            <w:vAlign w:val="bottom"/>
          </w:tcPr>
          <w:p w14:paraId="0CB8B43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92.42</w:t>
            </w:r>
          </w:p>
        </w:tc>
        <w:tc>
          <w:tcPr>
            <w:tcW w:w="1026" w:type="dxa"/>
            <w:shd w:val="clear" w:color="auto" w:fill="auto"/>
            <w:vAlign w:val="bottom"/>
          </w:tcPr>
          <w:p w14:paraId="24E655C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18.31</w:t>
            </w:r>
          </w:p>
        </w:tc>
      </w:tr>
      <w:tr w:rsidR="00067C34" w14:paraId="07396897" w14:textId="77777777">
        <w:trPr>
          <w:trHeight w:val="300"/>
        </w:trPr>
        <w:tc>
          <w:tcPr>
            <w:tcW w:w="594" w:type="dxa"/>
            <w:shd w:val="clear" w:color="auto" w:fill="auto"/>
            <w:vAlign w:val="bottom"/>
          </w:tcPr>
          <w:p w14:paraId="2029AE4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36</w:t>
            </w:r>
          </w:p>
        </w:tc>
        <w:tc>
          <w:tcPr>
            <w:tcW w:w="6097" w:type="dxa"/>
            <w:shd w:val="clear" w:color="auto" w:fill="auto"/>
            <w:vAlign w:val="bottom"/>
          </w:tcPr>
          <w:p w14:paraId="7A108FB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Escuela de Administración Pública de la Ciudad de México.</w:t>
            </w:r>
          </w:p>
        </w:tc>
        <w:tc>
          <w:tcPr>
            <w:tcW w:w="885" w:type="dxa"/>
            <w:shd w:val="clear" w:color="auto" w:fill="auto"/>
            <w:vAlign w:val="bottom"/>
          </w:tcPr>
          <w:p w14:paraId="686583B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88.63</w:t>
            </w:r>
          </w:p>
        </w:tc>
        <w:tc>
          <w:tcPr>
            <w:tcW w:w="886" w:type="dxa"/>
            <w:shd w:val="clear" w:color="auto" w:fill="auto"/>
            <w:vAlign w:val="bottom"/>
          </w:tcPr>
          <w:p w14:paraId="197A0A0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92.12</w:t>
            </w:r>
          </w:p>
        </w:tc>
        <w:tc>
          <w:tcPr>
            <w:tcW w:w="1026" w:type="dxa"/>
            <w:shd w:val="clear" w:color="auto" w:fill="auto"/>
            <w:vAlign w:val="bottom"/>
          </w:tcPr>
          <w:p w14:paraId="79DF512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3.49</w:t>
            </w:r>
          </w:p>
        </w:tc>
      </w:tr>
      <w:tr w:rsidR="00067C34" w14:paraId="67A20A06" w14:textId="77777777">
        <w:trPr>
          <w:trHeight w:val="300"/>
        </w:trPr>
        <w:tc>
          <w:tcPr>
            <w:tcW w:w="594" w:type="dxa"/>
            <w:shd w:val="clear" w:color="auto" w:fill="auto"/>
            <w:vAlign w:val="bottom"/>
          </w:tcPr>
          <w:p w14:paraId="406E227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37</w:t>
            </w:r>
          </w:p>
        </w:tc>
        <w:tc>
          <w:tcPr>
            <w:tcW w:w="6097" w:type="dxa"/>
            <w:shd w:val="clear" w:color="auto" w:fill="auto"/>
            <w:vAlign w:val="bottom"/>
          </w:tcPr>
          <w:p w14:paraId="5C2D6FF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Mecanismo de Protección Integral de Personas Defensoras de Derechos Humanos y Periodistas de la Ciudad de México.</w:t>
            </w:r>
          </w:p>
        </w:tc>
        <w:tc>
          <w:tcPr>
            <w:tcW w:w="885" w:type="dxa"/>
            <w:shd w:val="clear" w:color="auto" w:fill="auto"/>
            <w:vAlign w:val="bottom"/>
          </w:tcPr>
          <w:p w14:paraId="562C77A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63.76</w:t>
            </w:r>
          </w:p>
        </w:tc>
        <w:tc>
          <w:tcPr>
            <w:tcW w:w="886" w:type="dxa"/>
            <w:shd w:val="clear" w:color="auto" w:fill="auto"/>
            <w:vAlign w:val="bottom"/>
          </w:tcPr>
          <w:p w14:paraId="02F6E1E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91.66</w:t>
            </w:r>
          </w:p>
        </w:tc>
        <w:tc>
          <w:tcPr>
            <w:tcW w:w="1026" w:type="dxa"/>
            <w:shd w:val="clear" w:color="auto" w:fill="auto"/>
            <w:vAlign w:val="bottom"/>
          </w:tcPr>
          <w:p w14:paraId="54449F5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27.90</w:t>
            </w:r>
          </w:p>
        </w:tc>
      </w:tr>
      <w:tr w:rsidR="00067C34" w14:paraId="3C6EB2EE" w14:textId="77777777">
        <w:trPr>
          <w:trHeight w:val="300"/>
        </w:trPr>
        <w:tc>
          <w:tcPr>
            <w:tcW w:w="594" w:type="dxa"/>
            <w:shd w:val="clear" w:color="auto" w:fill="auto"/>
            <w:vAlign w:val="bottom"/>
          </w:tcPr>
          <w:p w14:paraId="4E67803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38</w:t>
            </w:r>
          </w:p>
        </w:tc>
        <w:tc>
          <w:tcPr>
            <w:tcW w:w="6097" w:type="dxa"/>
            <w:shd w:val="clear" w:color="auto" w:fill="auto"/>
            <w:vAlign w:val="bottom"/>
          </w:tcPr>
          <w:p w14:paraId="73AE975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Verificación Administrativa de la Ciudad de México.</w:t>
            </w:r>
          </w:p>
        </w:tc>
        <w:tc>
          <w:tcPr>
            <w:tcW w:w="885" w:type="dxa"/>
            <w:shd w:val="clear" w:color="auto" w:fill="auto"/>
            <w:vAlign w:val="bottom"/>
          </w:tcPr>
          <w:p w14:paraId="0BF1E5B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81.75</w:t>
            </w:r>
          </w:p>
        </w:tc>
        <w:tc>
          <w:tcPr>
            <w:tcW w:w="886" w:type="dxa"/>
            <w:shd w:val="clear" w:color="auto" w:fill="auto"/>
            <w:vAlign w:val="bottom"/>
          </w:tcPr>
          <w:p w14:paraId="5A074F6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91.58</w:t>
            </w:r>
          </w:p>
        </w:tc>
        <w:tc>
          <w:tcPr>
            <w:tcW w:w="1026" w:type="dxa"/>
            <w:shd w:val="clear" w:color="auto" w:fill="auto"/>
            <w:vAlign w:val="bottom"/>
          </w:tcPr>
          <w:p w14:paraId="657E617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9.83</w:t>
            </w:r>
          </w:p>
        </w:tc>
      </w:tr>
      <w:tr w:rsidR="00067C34" w14:paraId="64242BA3" w14:textId="77777777">
        <w:trPr>
          <w:trHeight w:val="300"/>
        </w:trPr>
        <w:tc>
          <w:tcPr>
            <w:tcW w:w="594" w:type="dxa"/>
            <w:shd w:val="clear" w:color="auto" w:fill="auto"/>
            <w:vAlign w:val="bottom"/>
          </w:tcPr>
          <w:p w14:paraId="7DD328F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39</w:t>
            </w:r>
          </w:p>
        </w:tc>
        <w:tc>
          <w:tcPr>
            <w:tcW w:w="6097" w:type="dxa"/>
            <w:shd w:val="clear" w:color="auto" w:fill="auto"/>
            <w:vAlign w:val="bottom"/>
          </w:tcPr>
          <w:p w14:paraId="28D7FAD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Caja de Previsión de la Policía Auxiliar de la Ciudad de México.</w:t>
            </w:r>
          </w:p>
        </w:tc>
        <w:tc>
          <w:tcPr>
            <w:tcW w:w="885" w:type="dxa"/>
            <w:shd w:val="clear" w:color="auto" w:fill="auto"/>
            <w:vAlign w:val="bottom"/>
          </w:tcPr>
          <w:p w14:paraId="00BE622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90.82</w:t>
            </w:r>
          </w:p>
        </w:tc>
        <w:tc>
          <w:tcPr>
            <w:tcW w:w="886" w:type="dxa"/>
            <w:shd w:val="clear" w:color="auto" w:fill="auto"/>
            <w:vAlign w:val="bottom"/>
          </w:tcPr>
          <w:p w14:paraId="22C8EC9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91.17</w:t>
            </w:r>
          </w:p>
        </w:tc>
        <w:tc>
          <w:tcPr>
            <w:tcW w:w="1026" w:type="dxa"/>
            <w:shd w:val="clear" w:color="auto" w:fill="auto"/>
            <w:vAlign w:val="bottom"/>
          </w:tcPr>
          <w:p w14:paraId="1128C54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0.35</w:t>
            </w:r>
          </w:p>
        </w:tc>
      </w:tr>
      <w:tr w:rsidR="00067C34" w14:paraId="3ABF8DD3" w14:textId="77777777">
        <w:trPr>
          <w:trHeight w:val="300"/>
        </w:trPr>
        <w:tc>
          <w:tcPr>
            <w:tcW w:w="594" w:type="dxa"/>
            <w:shd w:val="clear" w:color="auto" w:fill="auto"/>
            <w:vAlign w:val="bottom"/>
          </w:tcPr>
          <w:p w14:paraId="5AAAE65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40</w:t>
            </w:r>
          </w:p>
        </w:tc>
        <w:tc>
          <w:tcPr>
            <w:tcW w:w="6097" w:type="dxa"/>
            <w:shd w:val="clear" w:color="auto" w:fill="auto"/>
            <w:vAlign w:val="bottom"/>
          </w:tcPr>
          <w:p w14:paraId="69528857"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Agencia de Protección Sanitaria de la Ciudad de México.</w:t>
            </w:r>
          </w:p>
        </w:tc>
        <w:tc>
          <w:tcPr>
            <w:tcW w:w="885" w:type="dxa"/>
            <w:shd w:val="clear" w:color="auto" w:fill="auto"/>
            <w:vAlign w:val="bottom"/>
          </w:tcPr>
          <w:p w14:paraId="1E45666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81.87</w:t>
            </w:r>
          </w:p>
        </w:tc>
        <w:tc>
          <w:tcPr>
            <w:tcW w:w="886" w:type="dxa"/>
            <w:shd w:val="clear" w:color="auto" w:fill="auto"/>
            <w:vAlign w:val="bottom"/>
          </w:tcPr>
          <w:p w14:paraId="6776F78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90.87</w:t>
            </w:r>
          </w:p>
        </w:tc>
        <w:tc>
          <w:tcPr>
            <w:tcW w:w="1026" w:type="dxa"/>
            <w:shd w:val="clear" w:color="auto" w:fill="auto"/>
            <w:vAlign w:val="bottom"/>
          </w:tcPr>
          <w:p w14:paraId="5A02DC0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9.00</w:t>
            </w:r>
          </w:p>
        </w:tc>
      </w:tr>
      <w:tr w:rsidR="00067C34" w14:paraId="3D3D667D" w14:textId="77777777">
        <w:trPr>
          <w:trHeight w:val="300"/>
        </w:trPr>
        <w:tc>
          <w:tcPr>
            <w:tcW w:w="594" w:type="dxa"/>
            <w:shd w:val="clear" w:color="auto" w:fill="auto"/>
            <w:vAlign w:val="bottom"/>
          </w:tcPr>
          <w:p w14:paraId="61B0A19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41</w:t>
            </w:r>
          </w:p>
        </w:tc>
        <w:tc>
          <w:tcPr>
            <w:tcW w:w="6097" w:type="dxa"/>
            <w:shd w:val="clear" w:color="auto" w:fill="auto"/>
            <w:vAlign w:val="bottom"/>
          </w:tcPr>
          <w:p w14:paraId="50349BDD"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las Personas con Discapacidad de la Ciudad de México.</w:t>
            </w:r>
          </w:p>
        </w:tc>
        <w:tc>
          <w:tcPr>
            <w:tcW w:w="885" w:type="dxa"/>
            <w:shd w:val="clear" w:color="auto" w:fill="auto"/>
            <w:vAlign w:val="bottom"/>
          </w:tcPr>
          <w:p w14:paraId="0D4C3DF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69.34</w:t>
            </w:r>
          </w:p>
        </w:tc>
        <w:tc>
          <w:tcPr>
            <w:tcW w:w="886" w:type="dxa"/>
            <w:shd w:val="clear" w:color="auto" w:fill="auto"/>
            <w:vAlign w:val="bottom"/>
          </w:tcPr>
          <w:p w14:paraId="40F2B81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90.45</w:t>
            </w:r>
          </w:p>
        </w:tc>
        <w:tc>
          <w:tcPr>
            <w:tcW w:w="1026" w:type="dxa"/>
            <w:shd w:val="clear" w:color="auto" w:fill="auto"/>
            <w:vAlign w:val="bottom"/>
          </w:tcPr>
          <w:p w14:paraId="3A8C8E5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21.11</w:t>
            </w:r>
          </w:p>
        </w:tc>
      </w:tr>
      <w:tr w:rsidR="00067C34" w14:paraId="66389D4C" w14:textId="77777777">
        <w:trPr>
          <w:trHeight w:val="300"/>
        </w:trPr>
        <w:tc>
          <w:tcPr>
            <w:tcW w:w="594" w:type="dxa"/>
            <w:shd w:val="clear" w:color="auto" w:fill="auto"/>
            <w:vAlign w:val="bottom"/>
          </w:tcPr>
          <w:p w14:paraId="77919CC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42</w:t>
            </w:r>
          </w:p>
        </w:tc>
        <w:tc>
          <w:tcPr>
            <w:tcW w:w="6097" w:type="dxa"/>
            <w:shd w:val="clear" w:color="auto" w:fill="auto"/>
            <w:vAlign w:val="bottom"/>
          </w:tcPr>
          <w:p w14:paraId="28396B0C"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Centro Histórico de la Ciudad de México.</w:t>
            </w:r>
          </w:p>
        </w:tc>
        <w:tc>
          <w:tcPr>
            <w:tcW w:w="885" w:type="dxa"/>
            <w:shd w:val="clear" w:color="auto" w:fill="auto"/>
            <w:vAlign w:val="bottom"/>
          </w:tcPr>
          <w:p w14:paraId="3DCC678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88.67</w:t>
            </w:r>
          </w:p>
        </w:tc>
        <w:tc>
          <w:tcPr>
            <w:tcW w:w="886" w:type="dxa"/>
            <w:shd w:val="clear" w:color="auto" w:fill="auto"/>
            <w:vAlign w:val="bottom"/>
          </w:tcPr>
          <w:p w14:paraId="65AC7A6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90.18</w:t>
            </w:r>
          </w:p>
        </w:tc>
        <w:tc>
          <w:tcPr>
            <w:tcW w:w="1026" w:type="dxa"/>
            <w:shd w:val="clear" w:color="auto" w:fill="auto"/>
            <w:vAlign w:val="bottom"/>
          </w:tcPr>
          <w:p w14:paraId="24E0FC3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1.51</w:t>
            </w:r>
          </w:p>
        </w:tc>
      </w:tr>
      <w:tr w:rsidR="00067C34" w14:paraId="4C825A51" w14:textId="77777777">
        <w:trPr>
          <w:trHeight w:val="300"/>
        </w:trPr>
        <w:tc>
          <w:tcPr>
            <w:tcW w:w="594" w:type="dxa"/>
            <w:shd w:val="clear" w:color="auto" w:fill="auto"/>
            <w:vAlign w:val="bottom"/>
          </w:tcPr>
          <w:p w14:paraId="24F76C3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43</w:t>
            </w:r>
          </w:p>
        </w:tc>
        <w:tc>
          <w:tcPr>
            <w:tcW w:w="6097" w:type="dxa"/>
            <w:shd w:val="clear" w:color="auto" w:fill="auto"/>
            <w:vAlign w:val="bottom"/>
          </w:tcPr>
          <w:p w14:paraId="42FF3A4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Sistema Público de Radiodifusión de la Ciudad de México</w:t>
            </w:r>
          </w:p>
        </w:tc>
        <w:tc>
          <w:tcPr>
            <w:tcW w:w="885" w:type="dxa"/>
            <w:shd w:val="clear" w:color="auto" w:fill="auto"/>
            <w:vAlign w:val="bottom"/>
          </w:tcPr>
          <w:p w14:paraId="546B3D0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61.96</w:t>
            </w:r>
          </w:p>
        </w:tc>
        <w:tc>
          <w:tcPr>
            <w:tcW w:w="886" w:type="dxa"/>
            <w:shd w:val="clear" w:color="auto" w:fill="auto"/>
            <w:vAlign w:val="bottom"/>
          </w:tcPr>
          <w:p w14:paraId="31125A0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87.74</w:t>
            </w:r>
          </w:p>
        </w:tc>
        <w:tc>
          <w:tcPr>
            <w:tcW w:w="1026" w:type="dxa"/>
            <w:shd w:val="clear" w:color="auto" w:fill="auto"/>
            <w:vAlign w:val="bottom"/>
          </w:tcPr>
          <w:p w14:paraId="2815198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25.79</w:t>
            </w:r>
          </w:p>
        </w:tc>
      </w:tr>
      <w:tr w:rsidR="00067C34" w14:paraId="5F3772E0" w14:textId="77777777">
        <w:trPr>
          <w:trHeight w:val="300"/>
        </w:trPr>
        <w:tc>
          <w:tcPr>
            <w:tcW w:w="594" w:type="dxa"/>
            <w:shd w:val="clear" w:color="auto" w:fill="auto"/>
            <w:vAlign w:val="bottom"/>
          </w:tcPr>
          <w:p w14:paraId="3FCFA75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44</w:t>
            </w:r>
          </w:p>
        </w:tc>
        <w:tc>
          <w:tcPr>
            <w:tcW w:w="6097" w:type="dxa"/>
            <w:shd w:val="clear" w:color="auto" w:fill="auto"/>
            <w:vAlign w:val="bottom"/>
          </w:tcPr>
          <w:p w14:paraId="1C52E31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para la Seguridad de las Construcciones en la Ciudad de México.</w:t>
            </w:r>
          </w:p>
        </w:tc>
        <w:tc>
          <w:tcPr>
            <w:tcW w:w="885" w:type="dxa"/>
            <w:shd w:val="clear" w:color="auto" w:fill="auto"/>
            <w:vAlign w:val="bottom"/>
          </w:tcPr>
          <w:p w14:paraId="32DE84D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56.33</w:t>
            </w:r>
          </w:p>
        </w:tc>
        <w:tc>
          <w:tcPr>
            <w:tcW w:w="886" w:type="dxa"/>
            <w:shd w:val="clear" w:color="auto" w:fill="auto"/>
            <w:vAlign w:val="bottom"/>
          </w:tcPr>
          <w:p w14:paraId="1D9B927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87.01</w:t>
            </w:r>
          </w:p>
        </w:tc>
        <w:tc>
          <w:tcPr>
            <w:tcW w:w="1026" w:type="dxa"/>
            <w:shd w:val="clear" w:color="auto" w:fill="auto"/>
            <w:vAlign w:val="bottom"/>
          </w:tcPr>
          <w:p w14:paraId="744D941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30.68</w:t>
            </w:r>
          </w:p>
        </w:tc>
      </w:tr>
      <w:tr w:rsidR="00067C34" w14:paraId="2FAF6908" w14:textId="77777777">
        <w:trPr>
          <w:trHeight w:val="300"/>
        </w:trPr>
        <w:tc>
          <w:tcPr>
            <w:tcW w:w="594" w:type="dxa"/>
            <w:shd w:val="clear" w:color="auto" w:fill="auto"/>
            <w:vAlign w:val="bottom"/>
          </w:tcPr>
          <w:p w14:paraId="6D3ED58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45</w:t>
            </w:r>
          </w:p>
        </w:tc>
        <w:tc>
          <w:tcPr>
            <w:tcW w:w="6097" w:type="dxa"/>
            <w:shd w:val="clear" w:color="auto" w:fill="auto"/>
            <w:vAlign w:val="bottom"/>
          </w:tcPr>
          <w:p w14:paraId="1E91F02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para la Atención y Prevención de las Adicciones en la Ciudad de México.</w:t>
            </w:r>
          </w:p>
        </w:tc>
        <w:tc>
          <w:tcPr>
            <w:tcW w:w="885" w:type="dxa"/>
            <w:shd w:val="clear" w:color="auto" w:fill="auto"/>
            <w:vAlign w:val="bottom"/>
          </w:tcPr>
          <w:p w14:paraId="5FB637C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69.46</w:t>
            </w:r>
          </w:p>
        </w:tc>
        <w:tc>
          <w:tcPr>
            <w:tcW w:w="886" w:type="dxa"/>
            <w:shd w:val="clear" w:color="auto" w:fill="auto"/>
            <w:vAlign w:val="bottom"/>
          </w:tcPr>
          <w:p w14:paraId="6C865E3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86.12</w:t>
            </w:r>
          </w:p>
        </w:tc>
        <w:tc>
          <w:tcPr>
            <w:tcW w:w="1026" w:type="dxa"/>
            <w:shd w:val="clear" w:color="auto" w:fill="auto"/>
            <w:vAlign w:val="bottom"/>
          </w:tcPr>
          <w:p w14:paraId="79D9B2D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16.66</w:t>
            </w:r>
          </w:p>
        </w:tc>
      </w:tr>
      <w:tr w:rsidR="00067C34" w14:paraId="2EF62A95" w14:textId="77777777">
        <w:trPr>
          <w:trHeight w:val="300"/>
        </w:trPr>
        <w:tc>
          <w:tcPr>
            <w:tcW w:w="594" w:type="dxa"/>
            <w:shd w:val="clear" w:color="auto" w:fill="auto"/>
            <w:vAlign w:val="bottom"/>
          </w:tcPr>
          <w:p w14:paraId="775D19E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46</w:t>
            </w:r>
          </w:p>
        </w:tc>
        <w:tc>
          <w:tcPr>
            <w:tcW w:w="6097" w:type="dxa"/>
            <w:shd w:val="clear" w:color="auto" w:fill="auto"/>
            <w:vAlign w:val="bottom"/>
          </w:tcPr>
          <w:p w14:paraId="49B8272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Museo del Estanquillo.</w:t>
            </w:r>
          </w:p>
        </w:tc>
        <w:tc>
          <w:tcPr>
            <w:tcW w:w="885" w:type="dxa"/>
            <w:shd w:val="clear" w:color="auto" w:fill="auto"/>
            <w:vAlign w:val="bottom"/>
          </w:tcPr>
          <w:p w14:paraId="38C4159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82.87</w:t>
            </w:r>
          </w:p>
        </w:tc>
        <w:tc>
          <w:tcPr>
            <w:tcW w:w="886" w:type="dxa"/>
            <w:shd w:val="clear" w:color="auto" w:fill="auto"/>
            <w:vAlign w:val="bottom"/>
          </w:tcPr>
          <w:p w14:paraId="557DCBD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84.75</w:t>
            </w:r>
          </w:p>
        </w:tc>
        <w:tc>
          <w:tcPr>
            <w:tcW w:w="1026" w:type="dxa"/>
            <w:shd w:val="clear" w:color="auto" w:fill="auto"/>
            <w:vAlign w:val="bottom"/>
          </w:tcPr>
          <w:p w14:paraId="56023D4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1.88</w:t>
            </w:r>
          </w:p>
        </w:tc>
      </w:tr>
      <w:tr w:rsidR="00067C34" w14:paraId="2D1BBE11" w14:textId="77777777">
        <w:trPr>
          <w:trHeight w:val="300"/>
        </w:trPr>
        <w:tc>
          <w:tcPr>
            <w:tcW w:w="594" w:type="dxa"/>
            <w:shd w:val="clear" w:color="auto" w:fill="auto"/>
            <w:vAlign w:val="bottom"/>
          </w:tcPr>
          <w:p w14:paraId="34CC62C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47</w:t>
            </w:r>
          </w:p>
        </w:tc>
        <w:tc>
          <w:tcPr>
            <w:tcW w:w="6097" w:type="dxa"/>
            <w:shd w:val="clear" w:color="auto" w:fill="auto"/>
            <w:vAlign w:val="bottom"/>
          </w:tcPr>
          <w:p w14:paraId="1FF66587"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Público del Fondo de Apoyo a la Procuración de Justicia de la Ciudad de México.</w:t>
            </w:r>
          </w:p>
        </w:tc>
        <w:tc>
          <w:tcPr>
            <w:tcW w:w="885" w:type="dxa"/>
            <w:shd w:val="clear" w:color="auto" w:fill="auto"/>
            <w:vAlign w:val="bottom"/>
          </w:tcPr>
          <w:p w14:paraId="4AA1C1D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83.25</w:t>
            </w:r>
          </w:p>
        </w:tc>
        <w:tc>
          <w:tcPr>
            <w:tcW w:w="886" w:type="dxa"/>
            <w:shd w:val="clear" w:color="auto" w:fill="auto"/>
            <w:vAlign w:val="bottom"/>
          </w:tcPr>
          <w:p w14:paraId="3A9607C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83.72</w:t>
            </w:r>
          </w:p>
        </w:tc>
        <w:tc>
          <w:tcPr>
            <w:tcW w:w="1026" w:type="dxa"/>
            <w:shd w:val="clear" w:color="auto" w:fill="auto"/>
            <w:vAlign w:val="bottom"/>
          </w:tcPr>
          <w:p w14:paraId="28B46F3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0.47</w:t>
            </w:r>
          </w:p>
        </w:tc>
      </w:tr>
      <w:tr w:rsidR="00067C34" w14:paraId="5873025B" w14:textId="77777777">
        <w:trPr>
          <w:trHeight w:val="300"/>
        </w:trPr>
        <w:tc>
          <w:tcPr>
            <w:tcW w:w="594" w:type="dxa"/>
            <w:shd w:val="clear" w:color="auto" w:fill="auto"/>
            <w:vAlign w:val="bottom"/>
          </w:tcPr>
          <w:p w14:paraId="1C575C4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48</w:t>
            </w:r>
          </w:p>
        </w:tc>
        <w:tc>
          <w:tcPr>
            <w:tcW w:w="6097" w:type="dxa"/>
            <w:shd w:val="clear" w:color="auto" w:fill="auto"/>
            <w:vAlign w:val="bottom"/>
          </w:tcPr>
          <w:p w14:paraId="5E7C024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la Juventud de la Ciudad de México.</w:t>
            </w:r>
          </w:p>
        </w:tc>
        <w:tc>
          <w:tcPr>
            <w:tcW w:w="885" w:type="dxa"/>
            <w:shd w:val="clear" w:color="auto" w:fill="auto"/>
            <w:vAlign w:val="bottom"/>
          </w:tcPr>
          <w:p w14:paraId="567072F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62.87</w:t>
            </w:r>
          </w:p>
        </w:tc>
        <w:tc>
          <w:tcPr>
            <w:tcW w:w="886" w:type="dxa"/>
            <w:shd w:val="clear" w:color="auto" w:fill="auto"/>
            <w:vAlign w:val="bottom"/>
          </w:tcPr>
          <w:p w14:paraId="32F7AD1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82.45</w:t>
            </w:r>
          </w:p>
        </w:tc>
        <w:tc>
          <w:tcPr>
            <w:tcW w:w="1026" w:type="dxa"/>
            <w:shd w:val="clear" w:color="auto" w:fill="auto"/>
            <w:vAlign w:val="bottom"/>
          </w:tcPr>
          <w:p w14:paraId="62B86E7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19.58</w:t>
            </w:r>
          </w:p>
        </w:tc>
      </w:tr>
      <w:tr w:rsidR="00067C34" w14:paraId="2368474E" w14:textId="77777777">
        <w:trPr>
          <w:trHeight w:val="300"/>
        </w:trPr>
        <w:tc>
          <w:tcPr>
            <w:tcW w:w="594" w:type="dxa"/>
            <w:shd w:val="clear" w:color="auto" w:fill="auto"/>
            <w:vAlign w:val="bottom"/>
          </w:tcPr>
          <w:p w14:paraId="4F2E343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49</w:t>
            </w:r>
          </w:p>
        </w:tc>
        <w:tc>
          <w:tcPr>
            <w:tcW w:w="6097" w:type="dxa"/>
            <w:shd w:val="clear" w:color="auto" w:fill="auto"/>
            <w:vAlign w:val="bottom"/>
          </w:tcPr>
          <w:p w14:paraId="3A956BE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Procuraduría Social de la Ciudad de México.</w:t>
            </w:r>
          </w:p>
        </w:tc>
        <w:tc>
          <w:tcPr>
            <w:tcW w:w="885" w:type="dxa"/>
            <w:shd w:val="clear" w:color="auto" w:fill="auto"/>
            <w:vAlign w:val="bottom"/>
          </w:tcPr>
          <w:p w14:paraId="1158916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62.07</w:t>
            </w:r>
          </w:p>
        </w:tc>
        <w:tc>
          <w:tcPr>
            <w:tcW w:w="886" w:type="dxa"/>
            <w:shd w:val="clear" w:color="auto" w:fill="auto"/>
            <w:vAlign w:val="bottom"/>
          </w:tcPr>
          <w:p w14:paraId="0DCEB6C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82.29</w:t>
            </w:r>
          </w:p>
        </w:tc>
        <w:tc>
          <w:tcPr>
            <w:tcW w:w="1026" w:type="dxa"/>
            <w:shd w:val="clear" w:color="auto" w:fill="auto"/>
            <w:vAlign w:val="bottom"/>
          </w:tcPr>
          <w:p w14:paraId="4E47613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20.22</w:t>
            </w:r>
          </w:p>
        </w:tc>
      </w:tr>
      <w:tr w:rsidR="00067C34" w14:paraId="3C91053F" w14:textId="77777777">
        <w:trPr>
          <w:trHeight w:val="300"/>
        </w:trPr>
        <w:tc>
          <w:tcPr>
            <w:tcW w:w="594" w:type="dxa"/>
            <w:shd w:val="clear" w:color="auto" w:fill="auto"/>
            <w:vAlign w:val="bottom"/>
          </w:tcPr>
          <w:p w14:paraId="72843F2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50</w:t>
            </w:r>
          </w:p>
        </w:tc>
        <w:tc>
          <w:tcPr>
            <w:tcW w:w="6097" w:type="dxa"/>
            <w:shd w:val="clear" w:color="auto" w:fill="auto"/>
            <w:vAlign w:val="bottom"/>
          </w:tcPr>
          <w:p w14:paraId="5677570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Comisión de Filmaciones de la Ciudad de México.</w:t>
            </w:r>
          </w:p>
        </w:tc>
        <w:tc>
          <w:tcPr>
            <w:tcW w:w="885" w:type="dxa"/>
            <w:shd w:val="clear" w:color="auto" w:fill="auto"/>
            <w:vAlign w:val="bottom"/>
          </w:tcPr>
          <w:p w14:paraId="3B530A5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72.10</w:t>
            </w:r>
          </w:p>
        </w:tc>
        <w:tc>
          <w:tcPr>
            <w:tcW w:w="886" w:type="dxa"/>
            <w:shd w:val="clear" w:color="auto" w:fill="auto"/>
            <w:vAlign w:val="bottom"/>
          </w:tcPr>
          <w:p w14:paraId="7BC0F1D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79.15</w:t>
            </w:r>
          </w:p>
        </w:tc>
        <w:tc>
          <w:tcPr>
            <w:tcW w:w="1026" w:type="dxa"/>
            <w:shd w:val="clear" w:color="auto" w:fill="auto"/>
            <w:vAlign w:val="bottom"/>
          </w:tcPr>
          <w:p w14:paraId="340B9CF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7.05</w:t>
            </w:r>
          </w:p>
        </w:tc>
      </w:tr>
      <w:tr w:rsidR="00067C34" w14:paraId="158486BC" w14:textId="77777777">
        <w:trPr>
          <w:trHeight w:val="300"/>
        </w:trPr>
        <w:tc>
          <w:tcPr>
            <w:tcW w:w="594" w:type="dxa"/>
            <w:shd w:val="clear" w:color="auto" w:fill="auto"/>
            <w:vAlign w:val="bottom"/>
          </w:tcPr>
          <w:p w14:paraId="22831C1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51</w:t>
            </w:r>
          </w:p>
        </w:tc>
        <w:tc>
          <w:tcPr>
            <w:tcW w:w="6097" w:type="dxa"/>
            <w:shd w:val="clear" w:color="auto" w:fill="auto"/>
            <w:vAlign w:val="bottom"/>
          </w:tcPr>
          <w:p w14:paraId="1AD9DF9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Planta Productora de Mezclas Asfálticas.</w:t>
            </w:r>
          </w:p>
        </w:tc>
        <w:tc>
          <w:tcPr>
            <w:tcW w:w="885" w:type="dxa"/>
            <w:shd w:val="clear" w:color="auto" w:fill="auto"/>
            <w:vAlign w:val="bottom"/>
          </w:tcPr>
          <w:p w14:paraId="3363B55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17.27</w:t>
            </w:r>
          </w:p>
        </w:tc>
        <w:tc>
          <w:tcPr>
            <w:tcW w:w="886" w:type="dxa"/>
            <w:shd w:val="clear" w:color="auto" w:fill="auto"/>
            <w:vAlign w:val="bottom"/>
          </w:tcPr>
          <w:p w14:paraId="1331A74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66.57</w:t>
            </w:r>
          </w:p>
        </w:tc>
        <w:tc>
          <w:tcPr>
            <w:tcW w:w="1026" w:type="dxa"/>
            <w:shd w:val="clear" w:color="auto" w:fill="auto"/>
            <w:vAlign w:val="bottom"/>
          </w:tcPr>
          <w:p w14:paraId="72E9FC6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49.30</w:t>
            </w:r>
          </w:p>
        </w:tc>
      </w:tr>
      <w:tr w:rsidR="00067C34" w14:paraId="01CF1CCE" w14:textId="77777777">
        <w:trPr>
          <w:trHeight w:val="300"/>
        </w:trPr>
        <w:tc>
          <w:tcPr>
            <w:tcW w:w="594" w:type="dxa"/>
            <w:shd w:val="clear" w:color="auto" w:fill="auto"/>
            <w:vAlign w:val="bottom"/>
          </w:tcPr>
          <w:p w14:paraId="18319E4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52</w:t>
            </w:r>
          </w:p>
        </w:tc>
        <w:tc>
          <w:tcPr>
            <w:tcW w:w="6097" w:type="dxa"/>
            <w:shd w:val="clear" w:color="auto" w:fill="auto"/>
            <w:vAlign w:val="bottom"/>
          </w:tcPr>
          <w:p w14:paraId="42911A2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para la Promoción y Desarrollo del Cine Mexicano de la Ciudad de México.</w:t>
            </w:r>
          </w:p>
        </w:tc>
        <w:tc>
          <w:tcPr>
            <w:tcW w:w="885" w:type="dxa"/>
            <w:shd w:val="clear" w:color="auto" w:fill="auto"/>
            <w:vAlign w:val="bottom"/>
          </w:tcPr>
          <w:p w14:paraId="53A50B4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60.70</w:t>
            </w:r>
          </w:p>
        </w:tc>
        <w:tc>
          <w:tcPr>
            <w:tcW w:w="886" w:type="dxa"/>
            <w:shd w:val="clear" w:color="auto" w:fill="auto"/>
            <w:vAlign w:val="bottom"/>
          </w:tcPr>
          <w:p w14:paraId="7DAE9D1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66.10</w:t>
            </w:r>
          </w:p>
        </w:tc>
        <w:tc>
          <w:tcPr>
            <w:tcW w:w="1026" w:type="dxa"/>
            <w:shd w:val="clear" w:color="auto" w:fill="auto"/>
            <w:vAlign w:val="bottom"/>
          </w:tcPr>
          <w:p w14:paraId="2ECCCC8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5.40</w:t>
            </w:r>
          </w:p>
        </w:tc>
      </w:tr>
      <w:tr w:rsidR="00067C34" w14:paraId="2CE0FC0D" w14:textId="77777777">
        <w:trPr>
          <w:trHeight w:val="300"/>
        </w:trPr>
        <w:tc>
          <w:tcPr>
            <w:tcW w:w="594" w:type="dxa"/>
            <w:shd w:val="clear" w:color="auto" w:fill="auto"/>
            <w:vAlign w:val="bottom"/>
          </w:tcPr>
          <w:p w14:paraId="0190C27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53</w:t>
            </w:r>
          </w:p>
        </w:tc>
        <w:tc>
          <w:tcPr>
            <w:tcW w:w="6097" w:type="dxa"/>
            <w:shd w:val="clear" w:color="auto" w:fill="auto"/>
            <w:vAlign w:val="bottom"/>
          </w:tcPr>
          <w:p w14:paraId="297FEDA0"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Régimen de Protección Social en Salud de la Ciudad de México</w:t>
            </w:r>
          </w:p>
        </w:tc>
        <w:tc>
          <w:tcPr>
            <w:tcW w:w="885" w:type="dxa"/>
            <w:shd w:val="clear" w:color="auto" w:fill="auto"/>
            <w:vAlign w:val="bottom"/>
          </w:tcPr>
          <w:p w14:paraId="2BCBE0A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57.28</w:t>
            </w:r>
          </w:p>
        </w:tc>
        <w:tc>
          <w:tcPr>
            <w:tcW w:w="886" w:type="dxa"/>
            <w:shd w:val="clear" w:color="auto" w:fill="auto"/>
            <w:vAlign w:val="bottom"/>
          </w:tcPr>
          <w:p w14:paraId="4776ED1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60.70</w:t>
            </w:r>
          </w:p>
        </w:tc>
        <w:tc>
          <w:tcPr>
            <w:tcW w:w="1026" w:type="dxa"/>
            <w:shd w:val="clear" w:color="auto" w:fill="auto"/>
            <w:vAlign w:val="bottom"/>
          </w:tcPr>
          <w:p w14:paraId="3872F2F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3.42</w:t>
            </w:r>
          </w:p>
        </w:tc>
      </w:tr>
      <w:tr w:rsidR="00067C34" w14:paraId="39AACB4B" w14:textId="77777777">
        <w:trPr>
          <w:trHeight w:val="300"/>
        </w:trPr>
        <w:tc>
          <w:tcPr>
            <w:tcW w:w="594" w:type="dxa"/>
            <w:shd w:val="clear" w:color="auto" w:fill="auto"/>
            <w:vAlign w:val="bottom"/>
          </w:tcPr>
          <w:p w14:paraId="4E32494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54</w:t>
            </w:r>
          </w:p>
        </w:tc>
        <w:tc>
          <w:tcPr>
            <w:tcW w:w="6097" w:type="dxa"/>
            <w:shd w:val="clear" w:color="auto" w:fill="auto"/>
            <w:vAlign w:val="bottom"/>
          </w:tcPr>
          <w:p w14:paraId="7A31F85D"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Servicios Metropolitanos, S.A. de C.V.</w:t>
            </w:r>
          </w:p>
        </w:tc>
        <w:tc>
          <w:tcPr>
            <w:tcW w:w="885" w:type="dxa"/>
            <w:shd w:val="clear" w:color="auto" w:fill="auto"/>
            <w:vAlign w:val="bottom"/>
          </w:tcPr>
          <w:p w14:paraId="6A12043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49.83</w:t>
            </w:r>
          </w:p>
        </w:tc>
        <w:tc>
          <w:tcPr>
            <w:tcW w:w="886" w:type="dxa"/>
            <w:shd w:val="clear" w:color="auto" w:fill="auto"/>
            <w:vAlign w:val="bottom"/>
          </w:tcPr>
          <w:p w14:paraId="50398D1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49.83</w:t>
            </w:r>
          </w:p>
        </w:tc>
        <w:tc>
          <w:tcPr>
            <w:tcW w:w="1026" w:type="dxa"/>
            <w:shd w:val="clear" w:color="auto" w:fill="auto"/>
            <w:vAlign w:val="bottom"/>
          </w:tcPr>
          <w:p w14:paraId="4AE7CCD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0.00</w:t>
            </w:r>
          </w:p>
        </w:tc>
      </w:tr>
      <w:tr w:rsidR="00067C34" w14:paraId="6FB86963" w14:textId="77777777">
        <w:trPr>
          <w:trHeight w:val="300"/>
        </w:trPr>
        <w:tc>
          <w:tcPr>
            <w:tcW w:w="594" w:type="dxa"/>
            <w:shd w:val="clear" w:color="auto" w:fill="auto"/>
            <w:vAlign w:val="bottom"/>
          </w:tcPr>
          <w:p w14:paraId="6845DF0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55</w:t>
            </w:r>
          </w:p>
        </w:tc>
        <w:tc>
          <w:tcPr>
            <w:tcW w:w="6097" w:type="dxa"/>
            <w:shd w:val="clear" w:color="auto" w:fill="auto"/>
            <w:vAlign w:val="bottom"/>
          </w:tcPr>
          <w:p w14:paraId="5B88EC4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Heroico Cuerpo de Bomberos de la Ciudad de México.</w:t>
            </w:r>
          </w:p>
        </w:tc>
        <w:tc>
          <w:tcPr>
            <w:tcW w:w="885" w:type="dxa"/>
            <w:shd w:val="clear" w:color="auto" w:fill="auto"/>
            <w:vAlign w:val="bottom"/>
          </w:tcPr>
          <w:p w14:paraId="2EDD1B2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23.37</w:t>
            </w:r>
          </w:p>
        </w:tc>
        <w:tc>
          <w:tcPr>
            <w:tcW w:w="886" w:type="dxa"/>
            <w:shd w:val="clear" w:color="auto" w:fill="auto"/>
            <w:vAlign w:val="bottom"/>
          </w:tcPr>
          <w:p w14:paraId="7366E22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38.82</w:t>
            </w:r>
          </w:p>
        </w:tc>
        <w:tc>
          <w:tcPr>
            <w:tcW w:w="1026" w:type="dxa"/>
            <w:shd w:val="clear" w:color="auto" w:fill="auto"/>
            <w:vAlign w:val="bottom"/>
          </w:tcPr>
          <w:p w14:paraId="4CFF0D9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15.45</w:t>
            </w:r>
          </w:p>
        </w:tc>
      </w:tr>
      <w:tr w:rsidR="00067C34" w14:paraId="30CAC255" w14:textId="77777777">
        <w:trPr>
          <w:trHeight w:val="300"/>
        </w:trPr>
        <w:tc>
          <w:tcPr>
            <w:tcW w:w="594" w:type="dxa"/>
            <w:shd w:val="clear" w:color="auto" w:fill="auto"/>
            <w:vAlign w:val="bottom"/>
          </w:tcPr>
          <w:p w14:paraId="10AFE28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56</w:t>
            </w:r>
          </w:p>
        </w:tc>
        <w:tc>
          <w:tcPr>
            <w:tcW w:w="6097" w:type="dxa"/>
            <w:shd w:val="clear" w:color="auto" w:fill="auto"/>
            <w:vAlign w:val="bottom"/>
          </w:tcPr>
          <w:p w14:paraId="4691BCF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Museo de Arte Popular Mexicano.</w:t>
            </w:r>
          </w:p>
        </w:tc>
        <w:tc>
          <w:tcPr>
            <w:tcW w:w="885" w:type="dxa"/>
            <w:shd w:val="clear" w:color="auto" w:fill="auto"/>
            <w:vAlign w:val="bottom"/>
          </w:tcPr>
          <w:p w14:paraId="600C2A5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20.79</w:t>
            </w:r>
          </w:p>
        </w:tc>
        <w:tc>
          <w:tcPr>
            <w:tcW w:w="886" w:type="dxa"/>
            <w:shd w:val="clear" w:color="auto" w:fill="auto"/>
            <w:vAlign w:val="bottom"/>
          </w:tcPr>
          <w:p w14:paraId="4DC17C8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27.94</w:t>
            </w:r>
          </w:p>
        </w:tc>
        <w:tc>
          <w:tcPr>
            <w:tcW w:w="1026" w:type="dxa"/>
            <w:shd w:val="clear" w:color="auto" w:fill="auto"/>
            <w:vAlign w:val="bottom"/>
          </w:tcPr>
          <w:p w14:paraId="12D281D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7.15</w:t>
            </w:r>
          </w:p>
        </w:tc>
      </w:tr>
      <w:tr w:rsidR="00067C34" w14:paraId="25FB4C4B" w14:textId="77777777">
        <w:trPr>
          <w:trHeight w:val="300"/>
        </w:trPr>
        <w:tc>
          <w:tcPr>
            <w:tcW w:w="594" w:type="dxa"/>
            <w:shd w:val="clear" w:color="auto" w:fill="auto"/>
            <w:vAlign w:val="bottom"/>
          </w:tcPr>
          <w:p w14:paraId="6D8E127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57</w:t>
            </w:r>
          </w:p>
        </w:tc>
        <w:tc>
          <w:tcPr>
            <w:tcW w:w="6097" w:type="dxa"/>
            <w:shd w:val="clear" w:color="auto" w:fill="auto"/>
            <w:vAlign w:val="bottom"/>
          </w:tcPr>
          <w:p w14:paraId="7E66518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Fondo Público de Atención al Ciclista y al Peatón.</w:t>
            </w:r>
          </w:p>
        </w:tc>
        <w:tc>
          <w:tcPr>
            <w:tcW w:w="885" w:type="dxa"/>
            <w:shd w:val="clear" w:color="auto" w:fill="auto"/>
            <w:vAlign w:val="bottom"/>
          </w:tcPr>
          <w:p w14:paraId="365308E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11.25</w:t>
            </w:r>
          </w:p>
        </w:tc>
        <w:tc>
          <w:tcPr>
            <w:tcW w:w="886" w:type="dxa"/>
            <w:shd w:val="clear" w:color="auto" w:fill="auto"/>
            <w:vAlign w:val="bottom"/>
          </w:tcPr>
          <w:p w14:paraId="2A8963C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11.97</w:t>
            </w:r>
          </w:p>
        </w:tc>
        <w:tc>
          <w:tcPr>
            <w:tcW w:w="1026" w:type="dxa"/>
            <w:shd w:val="clear" w:color="auto" w:fill="auto"/>
            <w:vAlign w:val="bottom"/>
          </w:tcPr>
          <w:p w14:paraId="73C6A02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0.71</w:t>
            </w:r>
          </w:p>
        </w:tc>
      </w:tr>
      <w:tr w:rsidR="00067C34" w14:paraId="4BAC696C" w14:textId="77777777">
        <w:trPr>
          <w:trHeight w:val="300"/>
        </w:trPr>
        <w:tc>
          <w:tcPr>
            <w:tcW w:w="594" w:type="dxa"/>
            <w:shd w:val="clear" w:color="auto" w:fill="auto"/>
            <w:vAlign w:val="bottom"/>
          </w:tcPr>
          <w:p w14:paraId="34AA956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58</w:t>
            </w:r>
          </w:p>
        </w:tc>
        <w:tc>
          <w:tcPr>
            <w:tcW w:w="6097" w:type="dxa"/>
            <w:shd w:val="clear" w:color="auto" w:fill="auto"/>
            <w:vAlign w:val="bottom"/>
          </w:tcPr>
          <w:p w14:paraId="0F32D7E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para el Fondo de Promoción para el Financiamiento del Transporte Público.</w:t>
            </w:r>
          </w:p>
        </w:tc>
        <w:tc>
          <w:tcPr>
            <w:tcW w:w="885" w:type="dxa"/>
            <w:shd w:val="clear" w:color="auto" w:fill="auto"/>
            <w:vAlign w:val="bottom"/>
          </w:tcPr>
          <w:p w14:paraId="2C909A7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10.54</w:t>
            </w:r>
          </w:p>
        </w:tc>
        <w:tc>
          <w:tcPr>
            <w:tcW w:w="886" w:type="dxa"/>
            <w:shd w:val="clear" w:color="auto" w:fill="auto"/>
            <w:vAlign w:val="bottom"/>
          </w:tcPr>
          <w:p w14:paraId="4281DAB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10.54</w:t>
            </w:r>
          </w:p>
        </w:tc>
        <w:tc>
          <w:tcPr>
            <w:tcW w:w="1026" w:type="dxa"/>
            <w:shd w:val="clear" w:color="auto" w:fill="auto"/>
            <w:vAlign w:val="bottom"/>
          </w:tcPr>
          <w:p w14:paraId="0AB1378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0.00</w:t>
            </w:r>
          </w:p>
        </w:tc>
      </w:tr>
      <w:tr w:rsidR="00067C34" w14:paraId="3ECF2DE4" w14:textId="77777777">
        <w:trPr>
          <w:trHeight w:val="300"/>
        </w:trPr>
        <w:tc>
          <w:tcPr>
            <w:tcW w:w="594" w:type="dxa"/>
            <w:shd w:val="clear" w:color="auto" w:fill="auto"/>
            <w:vAlign w:val="bottom"/>
          </w:tcPr>
          <w:p w14:paraId="3055283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59</w:t>
            </w:r>
          </w:p>
        </w:tc>
        <w:tc>
          <w:tcPr>
            <w:tcW w:w="6097" w:type="dxa"/>
            <w:shd w:val="clear" w:color="auto" w:fill="auto"/>
            <w:vAlign w:val="bottom"/>
          </w:tcPr>
          <w:p w14:paraId="4DF52AA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Fideicomiso Público Complejo Ambiental Xochimilco.</w:t>
            </w:r>
          </w:p>
        </w:tc>
        <w:tc>
          <w:tcPr>
            <w:tcW w:w="885" w:type="dxa"/>
            <w:shd w:val="clear" w:color="auto" w:fill="auto"/>
            <w:vAlign w:val="bottom"/>
          </w:tcPr>
          <w:p w14:paraId="51727D5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0.00</w:t>
            </w:r>
          </w:p>
        </w:tc>
        <w:tc>
          <w:tcPr>
            <w:tcW w:w="886" w:type="dxa"/>
            <w:shd w:val="clear" w:color="auto" w:fill="auto"/>
            <w:vAlign w:val="bottom"/>
          </w:tcPr>
          <w:p w14:paraId="303E8A2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0.00</w:t>
            </w:r>
          </w:p>
        </w:tc>
        <w:tc>
          <w:tcPr>
            <w:tcW w:w="1026" w:type="dxa"/>
            <w:shd w:val="clear" w:color="auto" w:fill="auto"/>
            <w:vAlign w:val="bottom"/>
          </w:tcPr>
          <w:p w14:paraId="6A46F26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0.00</w:t>
            </w:r>
          </w:p>
        </w:tc>
      </w:tr>
      <w:tr w:rsidR="00067C34" w14:paraId="4B086E59" w14:textId="77777777">
        <w:trPr>
          <w:trHeight w:val="300"/>
        </w:trPr>
        <w:tc>
          <w:tcPr>
            <w:tcW w:w="594" w:type="dxa"/>
            <w:shd w:val="clear" w:color="auto" w:fill="auto"/>
            <w:vAlign w:val="bottom"/>
          </w:tcPr>
          <w:p w14:paraId="2D206C0E" w14:textId="77777777" w:rsidR="00067C34" w:rsidRDefault="00067C34">
            <w:pPr>
              <w:jc w:val="right"/>
              <w:rPr>
                <w:rFonts w:ascii="Arial" w:eastAsia="Arial" w:hAnsi="Arial" w:cs="Arial"/>
                <w:color w:val="000000"/>
                <w:sz w:val="20"/>
                <w:szCs w:val="20"/>
              </w:rPr>
            </w:pPr>
          </w:p>
        </w:tc>
        <w:tc>
          <w:tcPr>
            <w:tcW w:w="6097" w:type="dxa"/>
            <w:shd w:val="clear" w:color="auto" w:fill="auto"/>
            <w:vAlign w:val="bottom"/>
          </w:tcPr>
          <w:p w14:paraId="4FDE21F6" w14:textId="77777777" w:rsidR="00067C34" w:rsidRDefault="00BA3CD1">
            <w:pPr>
              <w:rPr>
                <w:rFonts w:ascii="Arial" w:eastAsia="Arial" w:hAnsi="Arial" w:cs="Arial"/>
                <w:b/>
                <w:color w:val="000000"/>
                <w:sz w:val="20"/>
                <w:szCs w:val="20"/>
              </w:rPr>
            </w:pPr>
            <w:r>
              <w:rPr>
                <w:rFonts w:ascii="Arial" w:eastAsia="Arial" w:hAnsi="Arial" w:cs="Arial"/>
                <w:b/>
                <w:color w:val="000000"/>
                <w:sz w:val="20"/>
                <w:szCs w:val="20"/>
              </w:rPr>
              <w:t>TOTAL</w:t>
            </w:r>
          </w:p>
        </w:tc>
        <w:tc>
          <w:tcPr>
            <w:tcW w:w="885" w:type="dxa"/>
            <w:shd w:val="clear" w:color="auto" w:fill="auto"/>
            <w:vAlign w:val="bottom"/>
          </w:tcPr>
          <w:p w14:paraId="17C9C225" w14:textId="77777777" w:rsidR="00067C34" w:rsidRDefault="00BA3CD1">
            <w:pPr>
              <w:jc w:val="right"/>
              <w:rPr>
                <w:rFonts w:ascii="Arial" w:eastAsia="Arial" w:hAnsi="Arial" w:cs="Arial"/>
                <w:b/>
                <w:color w:val="000000"/>
                <w:sz w:val="20"/>
                <w:szCs w:val="20"/>
              </w:rPr>
            </w:pPr>
            <w:r>
              <w:rPr>
                <w:rFonts w:ascii="Arial" w:eastAsia="Arial" w:hAnsi="Arial" w:cs="Arial"/>
                <w:b/>
                <w:color w:val="000000"/>
                <w:sz w:val="20"/>
                <w:szCs w:val="20"/>
              </w:rPr>
              <w:t>73.78</w:t>
            </w:r>
          </w:p>
        </w:tc>
        <w:tc>
          <w:tcPr>
            <w:tcW w:w="886" w:type="dxa"/>
            <w:shd w:val="clear" w:color="auto" w:fill="auto"/>
            <w:vAlign w:val="bottom"/>
          </w:tcPr>
          <w:p w14:paraId="3229CEDF" w14:textId="77777777" w:rsidR="00067C34" w:rsidRDefault="00BA3CD1">
            <w:pPr>
              <w:jc w:val="right"/>
              <w:rPr>
                <w:rFonts w:ascii="Arial" w:eastAsia="Arial" w:hAnsi="Arial" w:cs="Arial"/>
                <w:b/>
                <w:color w:val="000000"/>
                <w:sz w:val="20"/>
                <w:szCs w:val="20"/>
              </w:rPr>
            </w:pPr>
            <w:r>
              <w:rPr>
                <w:rFonts w:ascii="Arial" w:eastAsia="Arial" w:hAnsi="Arial" w:cs="Arial"/>
                <w:b/>
                <w:color w:val="000000"/>
                <w:sz w:val="20"/>
                <w:szCs w:val="20"/>
              </w:rPr>
              <w:t>86.07</w:t>
            </w:r>
          </w:p>
        </w:tc>
        <w:tc>
          <w:tcPr>
            <w:tcW w:w="1026" w:type="dxa"/>
            <w:shd w:val="clear" w:color="auto" w:fill="auto"/>
            <w:vAlign w:val="bottom"/>
          </w:tcPr>
          <w:p w14:paraId="08F21B27" w14:textId="77777777" w:rsidR="00067C34" w:rsidRDefault="00BA3CD1">
            <w:pPr>
              <w:jc w:val="right"/>
              <w:rPr>
                <w:rFonts w:ascii="Arial" w:eastAsia="Arial" w:hAnsi="Arial" w:cs="Arial"/>
                <w:b/>
                <w:color w:val="000000"/>
                <w:sz w:val="20"/>
                <w:szCs w:val="20"/>
              </w:rPr>
            </w:pPr>
            <w:r>
              <w:rPr>
                <w:rFonts w:ascii="Arial" w:eastAsia="Arial" w:hAnsi="Arial" w:cs="Arial"/>
                <w:b/>
                <w:color w:val="000000"/>
                <w:sz w:val="20"/>
                <w:szCs w:val="20"/>
              </w:rPr>
              <w:t>12.29</w:t>
            </w:r>
          </w:p>
        </w:tc>
      </w:tr>
    </w:tbl>
    <w:p w14:paraId="1D7E3B9A"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0EC152AC"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298D4E27"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2CFBF474"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refiere a la información que se encuentra publicada y actualizada en la Plataforma Nacional de Transparencia (PNT) del sujeto obligado.</w:t>
      </w:r>
    </w:p>
    <w:p w14:paraId="58DDC827" w14:textId="77777777" w:rsidR="00067C34" w:rsidRDefault="00BA3CD1">
      <w:pPr>
        <w:spacing w:before="280" w:after="280" w:line="360" w:lineRule="auto"/>
        <w:jc w:val="both"/>
        <w:rPr>
          <w:rFonts w:ascii="Arial" w:eastAsia="Arial" w:hAnsi="Arial" w:cs="Arial"/>
        </w:rPr>
      </w:pPr>
      <w:r>
        <w:rPr>
          <w:rFonts w:ascii="Arial" w:eastAsia="Arial" w:hAnsi="Arial" w:cs="Arial"/>
        </w:rPr>
        <w:t>De los 59 sujetos obligados verificados de este ámbi</w:t>
      </w:r>
      <w:r>
        <w:rPr>
          <w:rFonts w:ascii="Arial" w:eastAsia="Arial" w:hAnsi="Arial" w:cs="Arial"/>
        </w:rPr>
        <w:t>to de gobierno, destaca que 14, es decir, el 24%, atendieron todas las observaciones y recomendaciones realizadas en la Segunda Evaluación Vinculante 2020 y, por tanto, dieron cumplimiento total a las obligaciones de transparencia mínimas que marca la ley.</w:t>
      </w:r>
      <w:r>
        <w:rPr>
          <w:rFonts w:ascii="Arial" w:eastAsia="Arial" w:hAnsi="Arial" w:cs="Arial"/>
        </w:rPr>
        <w:t xml:space="preserve"> </w:t>
      </w:r>
    </w:p>
    <w:p w14:paraId="4F545AFB"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De los 42 sujetos obligados que </w:t>
      </w:r>
      <w:r>
        <w:rPr>
          <w:rFonts w:ascii="Arial" w:eastAsia="Arial" w:hAnsi="Arial" w:cs="Arial"/>
          <w:color w:val="000000"/>
        </w:rPr>
        <w:t xml:space="preserve">presentan áreas de oportunidad con relación a la publicación y actualización de la información, el 66%, es decir, </w:t>
      </w:r>
      <w:r>
        <w:rPr>
          <w:rFonts w:ascii="Arial" w:eastAsia="Arial" w:hAnsi="Arial" w:cs="Arial"/>
          <w:b/>
          <w:color w:val="000000"/>
        </w:rPr>
        <w:t>39</w:t>
      </w:r>
      <w:r>
        <w:rPr>
          <w:rFonts w:ascii="Arial" w:eastAsia="Arial" w:hAnsi="Arial" w:cs="Arial"/>
          <w:color w:val="000000"/>
        </w:rPr>
        <w:t xml:space="preserve"> sujetos obligados</w:t>
      </w:r>
      <w:r>
        <w:rPr>
          <w:rFonts w:ascii="Arial" w:eastAsia="Arial" w:hAnsi="Arial" w:cs="Arial"/>
        </w:rPr>
        <w:t xml:space="preserve"> se encuentran ubicados en un nivel de </w:t>
      </w:r>
      <w:r>
        <w:rPr>
          <w:rFonts w:ascii="Arial" w:eastAsia="Arial" w:hAnsi="Arial" w:cs="Arial"/>
          <w:b/>
        </w:rPr>
        <w:t>cumplimiento parcial</w:t>
      </w:r>
      <w:r>
        <w:rPr>
          <w:rFonts w:ascii="Arial" w:eastAsia="Arial" w:hAnsi="Arial" w:cs="Arial"/>
        </w:rPr>
        <w:t xml:space="preserve"> con un IGOT entre 60 y 99 pu</w:t>
      </w:r>
      <w:r>
        <w:rPr>
          <w:rFonts w:ascii="Arial" w:eastAsia="Arial" w:hAnsi="Arial" w:cs="Arial"/>
        </w:rPr>
        <w:t xml:space="preserve">ntos. </w:t>
      </w:r>
    </w:p>
    <w:p w14:paraId="72332EB7" w14:textId="77777777" w:rsidR="00067C34" w:rsidRDefault="00BA3CD1">
      <w:pPr>
        <w:spacing w:before="280" w:after="280" w:line="360" w:lineRule="auto"/>
        <w:jc w:val="both"/>
        <w:rPr>
          <w:rFonts w:ascii="Arial" w:eastAsia="Arial" w:hAnsi="Arial" w:cs="Arial"/>
        </w:rPr>
      </w:pPr>
      <w:r>
        <w:rPr>
          <w:rFonts w:ascii="Arial" w:eastAsia="Arial" w:hAnsi="Arial" w:cs="Arial"/>
          <w:b/>
        </w:rPr>
        <w:t>Cinco</w:t>
      </w:r>
      <w:r>
        <w:rPr>
          <w:rFonts w:ascii="Arial" w:eastAsia="Arial" w:hAnsi="Arial" w:cs="Arial"/>
        </w:rPr>
        <w:t xml:space="preserve"> sujetos obligados de este ámbito tuvieron un nivel de </w:t>
      </w:r>
      <w:r>
        <w:rPr>
          <w:rFonts w:ascii="Arial" w:eastAsia="Arial" w:hAnsi="Arial" w:cs="Arial"/>
          <w:b/>
        </w:rPr>
        <w:t xml:space="preserve">incumplimiento parcial </w:t>
      </w:r>
      <w:r>
        <w:rPr>
          <w:rFonts w:ascii="Arial" w:eastAsia="Arial" w:hAnsi="Arial" w:cs="Arial"/>
        </w:rPr>
        <w:t>toda vez que obtuvieron un IGOT entre 11 y 38 puntos; ellos son: Fideicomiso Museo de Arte Popular Mexicano (27.94); Fideicomiso para el Fondo de Promoción para el Fi</w:t>
      </w:r>
      <w:r>
        <w:rPr>
          <w:rFonts w:ascii="Arial" w:eastAsia="Arial" w:hAnsi="Arial" w:cs="Arial"/>
        </w:rPr>
        <w:t>nanciamiento del Transporte Público (10.54); Fondo Público de Atención al Ciclista y al Peatón (11.97); Heroico Cuerpo de Bomberos de la Ciudad de México (38.82) y Servicios Metropolitanos, S.A. de C.V. (49.83). Cabe destacar que en este grupo Servicios Me</w:t>
      </w:r>
      <w:r>
        <w:rPr>
          <w:rFonts w:ascii="Arial" w:eastAsia="Arial" w:hAnsi="Arial" w:cs="Arial"/>
        </w:rPr>
        <w:t>tropolitanos, S.A. de C.V. y el Fideicomiso para el Fondo de Promoción para el Financiamiento del Transporte Público, no atendieron ninguna de las observaciones y recomendaciones que se le hicieron en la Segunda Evaluación Vinculante 2020.</w:t>
      </w:r>
    </w:p>
    <w:p w14:paraId="30941306"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El </w:t>
      </w:r>
      <w:r>
        <w:rPr>
          <w:rFonts w:ascii="Arial" w:eastAsia="Arial" w:hAnsi="Arial" w:cs="Arial"/>
          <w:color w:val="000000"/>
        </w:rPr>
        <w:t>Fideicomiso Público Complejo Ambiental Xochimilco</w:t>
      </w:r>
      <w:r>
        <w:rPr>
          <w:rFonts w:ascii="Arial" w:eastAsia="Arial" w:hAnsi="Arial" w:cs="Arial"/>
        </w:rPr>
        <w:t xml:space="preserve"> no atendió ninguna de las observaciones realizadas en la Segunda Evaluación Vinculante 2020, por lo que se mantuvo en la Tercera Evaluación con un IGOT igual a 0, con </w:t>
      </w:r>
      <w:r>
        <w:rPr>
          <w:rFonts w:ascii="Arial" w:eastAsia="Arial" w:hAnsi="Arial" w:cs="Arial"/>
          <w:b/>
        </w:rPr>
        <w:t>incumplimiento total</w:t>
      </w:r>
      <w:r>
        <w:rPr>
          <w:rFonts w:ascii="Arial" w:eastAsia="Arial" w:hAnsi="Arial" w:cs="Arial"/>
        </w:rPr>
        <w:t xml:space="preserve"> a las obligaciones</w:t>
      </w:r>
      <w:r>
        <w:rPr>
          <w:rFonts w:ascii="Arial" w:eastAsia="Arial" w:hAnsi="Arial" w:cs="Arial"/>
        </w:rPr>
        <w:t xml:space="preserve"> de transparencia referidas a la publicación de su información en portal institucional y en la Plataforma Nacional de Transparencia</w:t>
      </w:r>
    </w:p>
    <w:p w14:paraId="3BAAA06D" w14:textId="77777777" w:rsidR="00067C34" w:rsidRDefault="00BA3CD1">
      <w:pPr>
        <w:spacing w:before="280" w:after="280" w:line="360" w:lineRule="auto"/>
        <w:jc w:val="center"/>
      </w:pPr>
      <w:r>
        <w:rPr>
          <w:noProof/>
        </w:rPr>
        <w:drawing>
          <wp:inline distT="0" distB="0" distL="0" distR="0" wp14:anchorId="1FC063A6" wp14:editId="32BB9FE9">
            <wp:extent cx="5629275" cy="3733800"/>
            <wp:effectExtent l="0" t="0" r="0" b="0"/>
            <wp:docPr id="1277849392" name="Gráfico 12778493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D947DF" w14:textId="77777777" w:rsidR="00067C34" w:rsidRDefault="00BA3CD1">
      <w:pPr>
        <w:spacing w:before="280" w:line="360" w:lineRule="auto"/>
        <w:jc w:val="both"/>
        <w:rPr>
          <w:rFonts w:ascii="Arial" w:eastAsia="Arial" w:hAnsi="Arial" w:cs="Arial"/>
        </w:rPr>
      </w:pPr>
      <w:r>
        <w:rPr>
          <w:rFonts w:ascii="Arial" w:eastAsia="Arial" w:hAnsi="Arial" w:cs="Arial"/>
        </w:rPr>
        <w:t xml:space="preserve">Con relación a la Segunda Evaluación Vinculante 2020, este ámbito tuvo en la Tercera Evaluación un incremento sustantivo, </w:t>
      </w:r>
      <w:r>
        <w:rPr>
          <w:rFonts w:ascii="Arial" w:eastAsia="Arial" w:hAnsi="Arial" w:cs="Arial"/>
        </w:rPr>
        <w:t xml:space="preserve">puesto que pasó de tener un IGOT de 73.8 a 86.1 puntos; manteniéndose con un </w:t>
      </w:r>
      <w:r>
        <w:rPr>
          <w:rFonts w:ascii="Arial" w:eastAsia="Arial" w:hAnsi="Arial" w:cs="Arial"/>
          <w:b/>
        </w:rPr>
        <w:t>cumplimiento parcial</w:t>
      </w:r>
      <w:r>
        <w:rPr>
          <w:rFonts w:ascii="Arial" w:eastAsia="Arial" w:hAnsi="Arial" w:cs="Arial"/>
        </w:rPr>
        <w:t xml:space="preserve"> promedio de las obligaciones de transparencia de la Ley de Transparencia local. Este ámbito tuvo un incremento de 12.32 puntos dentro de su índice. </w:t>
      </w:r>
    </w:p>
    <w:p w14:paraId="79A6FA6B" w14:textId="77777777" w:rsidR="00067C34" w:rsidRDefault="00BA3CD1">
      <w:pPr>
        <w:rPr>
          <w:rFonts w:ascii="Arial" w:eastAsia="Arial" w:hAnsi="Arial" w:cs="Arial"/>
          <w:b/>
        </w:rPr>
      </w:pPr>
      <w:r>
        <w:br w:type="page"/>
      </w:r>
    </w:p>
    <w:p w14:paraId="15E1D4DB" w14:textId="77777777" w:rsidR="00067C34" w:rsidRDefault="00BA3CD1">
      <w:pPr>
        <w:pStyle w:val="Ttulo1"/>
        <w:rPr>
          <w:rFonts w:ascii="Arial" w:eastAsia="Arial" w:hAnsi="Arial" w:cs="Arial"/>
          <w:b/>
          <w:color w:val="000000"/>
          <w:sz w:val="24"/>
          <w:szCs w:val="24"/>
        </w:rPr>
      </w:pPr>
      <w:bookmarkStart w:id="12" w:name="_heading=h.ihv636" w:colFirst="0" w:colLast="0"/>
      <w:bookmarkEnd w:id="12"/>
      <w:r>
        <w:rPr>
          <w:rFonts w:ascii="Arial" w:eastAsia="Arial" w:hAnsi="Arial" w:cs="Arial"/>
          <w:b/>
          <w:color w:val="000000"/>
          <w:sz w:val="24"/>
          <w:szCs w:val="24"/>
        </w:rPr>
        <w:t>ALCALDÍ</w:t>
      </w:r>
      <w:r>
        <w:rPr>
          <w:rFonts w:ascii="Arial" w:eastAsia="Arial" w:hAnsi="Arial" w:cs="Arial"/>
          <w:b/>
          <w:color w:val="000000"/>
          <w:sz w:val="24"/>
          <w:szCs w:val="24"/>
        </w:rPr>
        <w:t>AS</w:t>
      </w:r>
    </w:p>
    <w:p w14:paraId="13AFA450"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El ámbito de las alcaldías está integrado por 16 sujetos obligados de conformidad con el Padrón de sujetos obligados supeditados al cumplimiento de la Ley de Transparencia, Acceso a la Información Pública y Rendición de Cuentas de la Ciudad de México y de </w:t>
      </w:r>
      <w:r>
        <w:rPr>
          <w:rFonts w:ascii="Arial" w:eastAsia="Arial" w:hAnsi="Arial" w:cs="Arial"/>
        </w:rPr>
        <w:t>la Ley de Protección de Datos Personales en Posesión de los sujetos obligados de la Ciudad de México vigente.</w:t>
      </w:r>
    </w:p>
    <w:p w14:paraId="543F40DE" w14:textId="77777777" w:rsidR="00067C34" w:rsidRDefault="00BA3CD1">
      <w:pPr>
        <w:spacing w:before="280" w:after="280" w:line="360" w:lineRule="auto"/>
        <w:jc w:val="both"/>
        <w:rPr>
          <w:rFonts w:ascii="Arial" w:eastAsia="Arial" w:hAnsi="Arial" w:cs="Arial"/>
        </w:rPr>
      </w:pPr>
      <w:r>
        <w:rPr>
          <w:rFonts w:ascii="Arial" w:eastAsia="Arial" w:hAnsi="Arial" w:cs="Arial"/>
        </w:rPr>
        <w:t>De las 16 alcaldías, 11 recibieron observaciones y recomendaciones en la Segunda Evaluación Vinculante 2020 con relación a la publicación y actual</w:t>
      </w:r>
      <w:r>
        <w:rPr>
          <w:rFonts w:ascii="Arial" w:eastAsia="Arial" w:hAnsi="Arial" w:cs="Arial"/>
        </w:rPr>
        <w:t>ización de su información. Al respecto, tres de ellas atendieron todas las recomendaciones y dieron cumplimiento total del piso mínimo contemplado en la Ley de Transparencia local y 8 alcaldías, a pesar de haber solventado recomendaciones, todavía presenta</w:t>
      </w:r>
      <w:r>
        <w:rPr>
          <w:rFonts w:ascii="Arial" w:eastAsia="Arial" w:hAnsi="Arial" w:cs="Arial"/>
        </w:rPr>
        <w:t>n áreas de oportunidad.</w:t>
      </w:r>
    </w:p>
    <w:p w14:paraId="19A85A25" w14:textId="77777777" w:rsidR="00067C34" w:rsidRDefault="00BA3CD1">
      <w:pPr>
        <w:pStyle w:val="Ttulo2"/>
        <w:spacing w:before="280" w:after="280" w:line="360" w:lineRule="auto"/>
        <w:jc w:val="both"/>
        <w:rPr>
          <w:rFonts w:ascii="Arial" w:eastAsia="Arial" w:hAnsi="Arial" w:cs="Arial"/>
          <w:b/>
          <w:color w:val="000000"/>
          <w:sz w:val="24"/>
          <w:szCs w:val="24"/>
        </w:rPr>
      </w:pPr>
      <w:bookmarkStart w:id="13" w:name="_heading=h.32hioqz" w:colFirst="0" w:colLast="0"/>
      <w:bookmarkEnd w:id="13"/>
      <w:r>
        <w:rPr>
          <w:rFonts w:ascii="Arial" w:eastAsia="Arial" w:hAnsi="Arial" w:cs="Arial"/>
          <w:b/>
          <w:color w:val="000000"/>
          <w:sz w:val="24"/>
          <w:szCs w:val="24"/>
        </w:rPr>
        <w:t>Análisis global de cumplimiento de las alcaldías</w:t>
      </w:r>
    </w:p>
    <w:p w14:paraId="6A96FA95" w14:textId="77777777" w:rsidR="00067C34" w:rsidRDefault="00BA3CD1">
      <w:pPr>
        <w:spacing w:before="280" w:after="280" w:line="360" w:lineRule="auto"/>
        <w:jc w:val="both"/>
        <w:rPr>
          <w:rFonts w:ascii="Arial" w:eastAsia="Arial" w:hAnsi="Arial" w:cs="Arial"/>
          <w:u w:val="single"/>
        </w:rPr>
      </w:pPr>
      <w:r>
        <w:rPr>
          <w:rFonts w:ascii="Arial" w:eastAsia="Arial" w:hAnsi="Arial" w:cs="Arial"/>
          <w:u w:val="single"/>
        </w:rPr>
        <w:t>Índices Globales de Cumplimiento de las obligaciones de transparencia</w:t>
      </w:r>
    </w:p>
    <w:p w14:paraId="3D18085C" w14:textId="77777777" w:rsidR="00067C34" w:rsidRDefault="00BA3CD1">
      <w:pPr>
        <w:spacing w:before="280" w:after="280" w:line="360" w:lineRule="auto"/>
        <w:jc w:val="both"/>
        <w:rPr>
          <w:rFonts w:ascii="Arial" w:eastAsia="Arial" w:hAnsi="Arial" w:cs="Arial"/>
        </w:rPr>
      </w:pPr>
      <w:r>
        <w:rPr>
          <w:rFonts w:ascii="Arial" w:eastAsia="Arial" w:hAnsi="Arial" w:cs="Arial"/>
        </w:rPr>
        <w:t>El ámbito de las alcaldías obtuvo en la Tercera Evaluación Vinculante 2020 un IGOT de 97.7, el cual está compuest</w:t>
      </w:r>
      <w:r>
        <w:rPr>
          <w:rFonts w:ascii="Arial" w:eastAsia="Arial" w:hAnsi="Arial" w:cs="Arial"/>
        </w:rPr>
        <w:t>o por un índice de 98.32 en lo que corresponde a la Plataforma Nacional de Transparencia (PNT) y un índice de 97.08 en lo que se refiere al Portal de Transparencia (PI).</w:t>
      </w:r>
    </w:p>
    <w:p w14:paraId="5E059048" w14:textId="77777777" w:rsidR="00067C34" w:rsidRDefault="00BA3CD1">
      <w:pPr>
        <w:spacing w:before="280" w:after="280" w:line="360" w:lineRule="auto"/>
        <w:jc w:val="both"/>
        <w:rPr>
          <w:rFonts w:ascii="Arial" w:eastAsia="Arial" w:hAnsi="Arial" w:cs="Arial"/>
        </w:rPr>
      </w:pPr>
      <w:r>
        <w:rPr>
          <w:rFonts w:ascii="Arial" w:eastAsia="Arial" w:hAnsi="Arial" w:cs="Arial"/>
          <w:color w:val="000000"/>
        </w:rPr>
        <w:t>Los sujetos obligados, así como su Índice de cumplimiento de obligaciones de transpare</w:t>
      </w:r>
      <w:r>
        <w:rPr>
          <w:rFonts w:ascii="Arial" w:eastAsia="Arial" w:hAnsi="Arial" w:cs="Arial"/>
          <w:color w:val="000000"/>
        </w:rPr>
        <w:t xml:space="preserve">ncia del portal de Internet (IGOT-PI), como el de la Plataforma Nacional de Transparencia (IGOT-PNT) y el Índice General de Cumplimiento de obligaciones de </w:t>
      </w:r>
      <w:r>
        <w:rPr>
          <w:rFonts w:ascii="Arial" w:eastAsia="Arial" w:hAnsi="Arial" w:cs="Arial"/>
        </w:rPr>
        <w:t>transparencia (IGOT) se presentan en la siguiente tabla, ordenados de forma descendente, respecto de</w:t>
      </w:r>
      <w:r>
        <w:rPr>
          <w:rFonts w:ascii="Arial" w:eastAsia="Arial" w:hAnsi="Arial" w:cs="Arial"/>
        </w:rPr>
        <w:t xml:space="preserve">l IGOT: </w:t>
      </w:r>
    </w:p>
    <w:p w14:paraId="167CF25A" w14:textId="77777777" w:rsidR="00067C34" w:rsidRDefault="00BA3CD1">
      <w:pPr>
        <w:jc w:val="both"/>
        <w:rPr>
          <w:rFonts w:ascii="Arial" w:eastAsia="Arial" w:hAnsi="Arial" w:cs="Arial"/>
          <w:b/>
          <w:color w:val="000000"/>
        </w:rPr>
      </w:pPr>
      <w:r>
        <w:rPr>
          <w:rFonts w:ascii="Arial" w:eastAsia="Arial" w:hAnsi="Arial" w:cs="Arial"/>
          <w:b/>
          <w:color w:val="000000"/>
        </w:rPr>
        <w:t>Comparativo de índices entre la Segunda Evaluación Vinculante 2020 y la Tercera Evaluación Vinculante 2020</w:t>
      </w:r>
    </w:p>
    <w:tbl>
      <w:tblPr>
        <w:tblStyle w:val="aff6"/>
        <w:tblW w:w="92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4635"/>
        <w:gridCol w:w="1231"/>
        <w:gridCol w:w="1151"/>
        <w:gridCol w:w="1420"/>
      </w:tblGrid>
      <w:tr w:rsidR="00067C34" w14:paraId="47F888C0" w14:textId="77777777">
        <w:trPr>
          <w:trHeight w:val="588"/>
        </w:trPr>
        <w:tc>
          <w:tcPr>
            <w:tcW w:w="771" w:type="dxa"/>
            <w:shd w:val="clear" w:color="auto" w:fill="F4B084"/>
            <w:vAlign w:val="center"/>
          </w:tcPr>
          <w:p w14:paraId="526A1227"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4635" w:type="dxa"/>
            <w:shd w:val="clear" w:color="auto" w:fill="F4B084"/>
            <w:vAlign w:val="center"/>
          </w:tcPr>
          <w:p w14:paraId="4A47497E"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1231" w:type="dxa"/>
            <w:shd w:val="clear" w:color="auto" w:fill="F4B084"/>
            <w:vAlign w:val="center"/>
          </w:tcPr>
          <w:p w14:paraId="2BDB531F"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2da</w:t>
            </w:r>
          </w:p>
        </w:tc>
        <w:tc>
          <w:tcPr>
            <w:tcW w:w="1151" w:type="dxa"/>
            <w:shd w:val="clear" w:color="auto" w:fill="F4B084"/>
            <w:vAlign w:val="center"/>
          </w:tcPr>
          <w:p w14:paraId="181098C4"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1420" w:type="dxa"/>
            <w:shd w:val="clear" w:color="auto" w:fill="F4B084"/>
            <w:vAlign w:val="center"/>
          </w:tcPr>
          <w:p w14:paraId="4FC15C23"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111B62EA" w14:textId="77777777">
        <w:trPr>
          <w:trHeight w:val="288"/>
        </w:trPr>
        <w:tc>
          <w:tcPr>
            <w:tcW w:w="771" w:type="dxa"/>
            <w:shd w:val="clear" w:color="auto" w:fill="auto"/>
            <w:vAlign w:val="bottom"/>
          </w:tcPr>
          <w:p w14:paraId="24A3060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w:t>
            </w:r>
          </w:p>
        </w:tc>
        <w:tc>
          <w:tcPr>
            <w:tcW w:w="4635" w:type="dxa"/>
            <w:shd w:val="clear" w:color="auto" w:fill="auto"/>
            <w:vAlign w:val="bottom"/>
          </w:tcPr>
          <w:p w14:paraId="1D2AA03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Benito Juárez.</w:t>
            </w:r>
          </w:p>
        </w:tc>
        <w:tc>
          <w:tcPr>
            <w:tcW w:w="1231" w:type="dxa"/>
            <w:shd w:val="clear" w:color="auto" w:fill="auto"/>
            <w:vAlign w:val="bottom"/>
          </w:tcPr>
          <w:p w14:paraId="07524DB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84.02</w:t>
            </w:r>
          </w:p>
        </w:tc>
        <w:tc>
          <w:tcPr>
            <w:tcW w:w="1151" w:type="dxa"/>
            <w:shd w:val="clear" w:color="auto" w:fill="auto"/>
            <w:vAlign w:val="bottom"/>
          </w:tcPr>
          <w:p w14:paraId="7B7CC54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420" w:type="dxa"/>
            <w:shd w:val="clear" w:color="auto" w:fill="auto"/>
            <w:vAlign w:val="bottom"/>
          </w:tcPr>
          <w:p w14:paraId="7CA9973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15.98</w:t>
            </w:r>
          </w:p>
        </w:tc>
      </w:tr>
      <w:tr w:rsidR="00067C34" w14:paraId="458288BA" w14:textId="77777777">
        <w:trPr>
          <w:trHeight w:val="288"/>
        </w:trPr>
        <w:tc>
          <w:tcPr>
            <w:tcW w:w="771" w:type="dxa"/>
            <w:shd w:val="clear" w:color="auto" w:fill="auto"/>
            <w:vAlign w:val="bottom"/>
          </w:tcPr>
          <w:p w14:paraId="62AE729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w:t>
            </w:r>
          </w:p>
        </w:tc>
        <w:tc>
          <w:tcPr>
            <w:tcW w:w="4635" w:type="dxa"/>
            <w:shd w:val="clear" w:color="auto" w:fill="auto"/>
            <w:vAlign w:val="bottom"/>
          </w:tcPr>
          <w:p w14:paraId="596DEA0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Iztapalapa.</w:t>
            </w:r>
          </w:p>
        </w:tc>
        <w:tc>
          <w:tcPr>
            <w:tcW w:w="1231" w:type="dxa"/>
            <w:shd w:val="clear" w:color="auto" w:fill="auto"/>
            <w:vAlign w:val="bottom"/>
          </w:tcPr>
          <w:p w14:paraId="68B922E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98.36</w:t>
            </w:r>
          </w:p>
        </w:tc>
        <w:tc>
          <w:tcPr>
            <w:tcW w:w="1151" w:type="dxa"/>
            <w:shd w:val="clear" w:color="auto" w:fill="auto"/>
            <w:vAlign w:val="bottom"/>
          </w:tcPr>
          <w:p w14:paraId="217DEA5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420" w:type="dxa"/>
            <w:shd w:val="clear" w:color="auto" w:fill="auto"/>
            <w:vAlign w:val="bottom"/>
          </w:tcPr>
          <w:p w14:paraId="7694CCD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1.64</w:t>
            </w:r>
          </w:p>
        </w:tc>
      </w:tr>
      <w:tr w:rsidR="00067C34" w14:paraId="1F090002" w14:textId="77777777">
        <w:trPr>
          <w:trHeight w:val="288"/>
        </w:trPr>
        <w:tc>
          <w:tcPr>
            <w:tcW w:w="771" w:type="dxa"/>
            <w:shd w:val="clear" w:color="auto" w:fill="auto"/>
            <w:vAlign w:val="bottom"/>
          </w:tcPr>
          <w:p w14:paraId="3BC42BE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w:t>
            </w:r>
          </w:p>
        </w:tc>
        <w:tc>
          <w:tcPr>
            <w:tcW w:w="4635" w:type="dxa"/>
            <w:shd w:val="clear" w:color="auto" w:fill="auto"/>
            <w:vAlign w:val="bottom"/>
          </w:tcPr>
          <w:p w14:paraId="6FD4F8B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Miguel Hidalgo.</w:t>
            </w:r>
          </w:p>
        </w:tc>
        <w:tc>
          <w:tcPr>
            <w:tcW w:w="1231" w:type="dxa"/>
            <w:shd w:val="clear" w:color="auto" w:fill="auto"/>
            <w:vAlign w:val="bottom"/>
          </w:tcPr>
          <w:p w14:paraId="5856360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98.04</w:t>
            </w:r>
          </w:p>
        </w:tc>
        <w:tc>
          <w:tcPr>
            <w:tcW w:w="1151" w:type="dxa"/>
            <w:shd w:val="clear" w:color="auto" w:fill="auto"/>
            <w:vAlign w:val="bottom"/>
          </w:tcPr>
          <w:p w14:paraId="7E62C71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100.00</w:t>
            </w:r>
          </w:p>
        </w:tc>
        <w:tc>
          <w:tcPr>
            <w:tcW w:w="1420" w:type="dxa"/>
            <w:shd w:val="clear" w:color="auto" w:fill="auto"/>
            <w:vAlign w:val="bottom"/>
          </w:tcPr>
          <w:p w14:paraId="2E7D7BF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1.96</w:t>
            </w:r>
          </w:p>
        </w:tc>
      </w:tr>
      <w:tr w:rsidR="00067C34" w14:paraId="61C5209C" w14:textId="77777777">
        <w:trPr>
          <w:trHeight w:val="288"/>
        </w:trPr>
        <w:tc>
          <w:tcPr>
            <w:tcW w:w="771" w:type="dxa"/>
            <w:shd w:val="clear" w:color="auto" w:fill="auto"/>
            <w:vAlign w:val="bottom"/>
          </w:tcPr>
          <w:p w14:paraId="3752015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w:t>
            </w:r>
          </w:p>
        </w:tc>
        <w:tc>
          <w:tcPr>
            <w:tcW w:w="4635" w:type="dxa"/>
            <w:shd w:val="clear" w:color="auto" w:fill="auto"/>
            <w:vAlign w:val="bottom"/>
          </w:tcPr>
          <w:p w14:paraId="6009BA9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Venustiano Carranza.</w:t>
            </w:r>
          </w:p>
        </w:tc>
        <w:tc>
          <w:tcPr>
            <w:tcW w:w="1231" w:type="dxa"/>
            <w:shd w:val="clear" w:color="auto" w:fill="auto"/>
            <w:vAlign w:val="bottom"/>
          </w:tcPr>
          <w:p w14:paraId="70494E0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97.59</w:t>
            </w:r>
          </w:p>
        </w:tc>
        <w:tc>
          <w:tcPr>
            <w:tcW w:w="1151" w:type="dxa"/>
            <w:shd w:val="clear" w:color="auto" w:fill="auto"/>
            <w:vAlign w:val="bottom"/>
          </w:tcPr>
          <w:p w14:paraId="47448FA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99.59</w:t>
            </w:r>
          </w:p>
        </w:tc>
        <w:tc>
          <w:tcPr>
            <w:tcW w:w="1420" w:type="dxa"/>
            <w:shd w:val="clear" w:color="auto" w:fill="auto"/>
            <w:vAlign w:val="bottom"/>
          </w:tcPr>
          <w:p w14:paraId="2C4803C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1.99</w:t>
            </w:r>
          </w:p>
        </w:tc>
      </w:tr>
      <w:tr w:rsidR="00067C34" w14:paraId="0C88A78E" w14:textId="77777777">
        <w:trPr>
          <w:trHeight w:val="288"/>
        </w:trPr>
        <w:tc>
          <w:tcPr>
            <w:tcW w:w="771" w:type="dxa"/>
            <w:shd w:val="clear" w:color="auto" w:fill="auto"/>
            <w:vAlign w:val="bottom"/>
          </w:tcPr>
          <w:p w14:paraId="6280F98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w:t>
            </w:r>
          </w:p>
        </w:tc>
        <w:tc>
          <w:tcPr>
            <w:tcW w:w="4635" w:type="dxa"/>
            <w:shd w:val="clear" w:color="auto" w:fill="auto"/>
            <w:vAlign w:val="bottom"/>
          </w:tcPr>
          <w:p w14:paraId="08F1AFB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Gustavo A. Madero.</w:t>
            </w:r>
          </w:p>
        </w:tc>
        <w:tc>
          <w:tcPr>
            <w:tcW w:w="1231" w:type="dxa"/>
            <w:shd w:val="clear" w:color="auto" w:fill="auto"/>
            <w:vAlign w:val="bottom"/>
          </w:tcPr>
          <w:p w14:paraId="3AEF137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92.33</w:t>
            </w:r>
          </w:p>
        </w:tc>
        <w:tc>
          <w:tcPr>
            <w:tcW w:w="1151" w:type="dxa"/>
            <w:shd w:val="clear" w:color="auto" w:fill="auto"/>
            <w:vAlign w:val="bottom"/>
          </w:tcPr>
          <w:p w14:paraId="00CA8C1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99.51</w:t>
            </w:r>
          </w:p>
        </w:tc>
        <w:tc>
          <w:tcPr>
            <w:tcW w:w="1420" w:type="dxa"/>
            <w:shd w:val="clear" w:color="auto" w:fill="auto"/>
            <w:vAlign w:val="bottom"/>
          </w:tcPr>
          <w:p w14:paraId="756DB36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7.18</w:t>
            </w:r>
          </w:p>
        </w:tc>
      </w:tr>
      <w:tr w:rsidR="00067C34" w14:paraId="1B95323A" w14:textId="77777777">
        <w:trPr>
          <w:trHeight w:val="288"/>
        </w:trPr>
        <w:tc>
          <w:tcPr>
            <w:tcW w:w="771" w:type="dxa"/>
            <w:shd w:val="clear" w:color="auto" w:fill="auto"/>
            <w:vAlign w:val="bottom"/>
          </w:tcPr>
          <w:p w14:paraId="71909A8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w:t>
            </w:r>
          </w:p>
        </w:tc>
        <w:tc>
          <w:tcPr>
            <w:tcW w:w="4635" w:type="dxa"/>
            <w:shd w:val="clear" w:color="auto" w:fill="auto"/>
            <w:vAlign w:val="bottom"/>
          </w:tcPr>
          <w:p w14:paraId="5384D96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Xochimilco.</w:t>
            </w:r>
          </w:p>
        </w:tc>
        <w:tc>
          <w:tcPr>
            <w:tcW w:w="1231" w:type="dxa"/>
            <w:shd w:val="clear" w:color="auto" w:fill="auto"/>
            <w:vAlign w:val="bottom"/>
          </w:tcPr>
          <w:p w14:paraId="2A950C4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95.38</w:t>
            </w:r>
          </w:p>
        </w:tc>
        <w:tc>
          <w:tcPr>
            <w:tcW w:w="1151" w:type="dxa"/>
            <w:shd w:val="clear" w:color="auto" w:fill="auto"/>
            <w:vAlign w:val="bottom"/>
          </w:tcPr>
          <w:p w14:paraId="3304BAB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98.17</w:t>
            </w:r>
          </w:p>
        </w:tc>
        <w:tc>
          <w:tcPr>
            <w:tcW w:w="1420" w:type="dxa"/>
            <w:shd w:val="clear" w:color="auto" w:fill="auto"/>
            <w:vAlign w:val="bottom"/>
          </w:tcPr>
          <w:p w14:paraId="577AC2E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2.80</w:t>
            </w:r>
          </w:p>
        </w:tc>
      </w:tr>
      <w:tr w:rsidR="00067C34" w14:paraId="152B98CF" w14:textId="77777777">
        <w:trPr>
          <w:trHeight w:val="288"/>
        </w:trPr>
        <w:tc>
          <w:tcPr>
            <w:tcW w:w="771" w:type="dxa"/>
            <w:shd w:val="clear" w:color="auto" w:fill="auto"/>
            <w:vAlign w:val="bottom"/>
          </w:tcPr>
          <w:p w14:paraId="45B4A80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w:t>
            </w:r>
          </w:p>
        </w:tc>
        <w:tc>
          <w:tcPr>
            <w:tcW w:w="4635" w:type="dxa"/>
            <w:shd w:val="clear" w:color="auto" w:fill="auto"/>
            <w:vAlign w:val="bottom"/>
          </w:tcPr>
          <w:p w14:paraId="3E9EB690"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Iztacalco.</w:t>
            </w:r>
          </w:p>
        </w:tc>
        <w:tc>
          <w:tcPr>
            <w:tcW w:w="1231" w:type="dxa"/>
            <w:shd w:val="clear" w:color="auto" w:fill="auto"/>
            <w:vAlign w:val="bottom"/>
          </w:tcPr>
          <w:p w14:paraId="69CE779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96.50</w:t>
            </w:r>
          </w:p>
        </w:tc>
        <w:tc>
          <w:tcPr>
            <w:tcW w:w="1151" w:type="dxa"/>
            <w:shd w:val="clear" w:color="auto" w:fill="auto"/>
            <w:vAlign w:val="bottom"/>
          </w:tcPr>
          <w:p w14:paraId="30CFE94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97.99</w:t>
            </w:r>
          </w:p>
        </w:tc>
        <w:tc>
          <w:tcPr>
            <w:tcW w:w="1420" w:type="dxa"/>
            <w:shd w:val="clear" w:color="auto" w:fill="auto"/>
            <w:vAlign w:val="bottom"/>
          </w:tcPr>
          <w:p w14:paraId="33350C7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1.49</w:t>
            </w:r>
          </w:p>
        </w:tc>
      </w:tr>
      <w:tr w:rsidR="00067C34" w14:paraId="6BE1D132" w14:textId="77777777">
        <w:trPr>
          <w:trHeight w:val="288"/>
        </w:trPr>
        <w:tc>
          <w:tcPr>
            <w:tcW w:w="771" w:type="dxa"/>
            <w:shd w:val="clear" w:color="auto" w:fill="auto"/>
            <w:vAlign w:val="bottom"/>
          </w:tcPr>
          <w:p w14:paraId="4491E86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w:t>
            </w:r>
          </w:p>
        </w:tc>
        <w:tc>
          <w:tcPr>
            <w:tcW w:w="4635" w:type="dxa"/>
            <w:shd w:val="clear" w:color="auto" w:fill="auto"/>
            <w:vAlign w:val="bottom"/>
          </w:tcPr>
          <w:p w14:paraId="2C8EBCB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Tlalpan.</w:t>
            </w:r>
          </w:p>
        </w:tc>
        <w:tc>
          <w:tcPr>
            <w:tcW w:w="1231" w:type="dxa"/>
            <w:shd w:val="clear" w:color="auto" w:fill="auto"/>
            <w:vAlign w:val="bottom"/>
          </w:tcPr>
          <w:p w14:paraId="7AEBBDBB"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64.92</w:t>
            </w:r>
          </w:p>
        </w:tc>
        <w:tc>
          <w:tcPr>
            <w:tcW w:w="1151" w:type="dxa"/>
            <w:shd w:val="clear" w:color="auto" w:fill="auto"/>
            <w:vAlign w:val="bottom"/>
          </w:tcPr>
          <w:p w14:paraId="40DAA0A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96.14</w:t>
            </w:r>
          </w:p>
        </w:tc>
        <w:tc>
          <w:tcPr>
            <w:tcW w:w="1420" w:type="dxa"/>
            <w:shd w:val="clear" w:color="auto" w:fill="auto"/>
            <w:vAlign w:val="bottom"/>
          </w:tcPr>
          <w:p w14:paraId="1E52DC8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31.22</w:t>
            </w:r>
          </w:p>
        </w:tc>
      </w:tr>
      <w:tr w:rsidR="00067C34" w14:paraId="1A3A63AC" w14:textId="77777777">
        <w:trPr>
          <w:trHeight w:val="288"/>
        </w:trPr>
        <w:tc>
          <w:tcPr>
            <w:tcW w:w="771" w:type="dxa"/>
            <w:shd w:val="clear" w:color="auto" w:fill="auto"/>
            <w:vAlign w:val="bottom"/>
          </w:tcPr>
          <w:p w14:paraId="51235BEE"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w:t>
            </w:r>
          </w:p>
        </w:tc>
        <w:tc>
          <w:tcPr>
            <w:tcW w:w="4635" w:type="dxa"/>
            <w:shd w:val="clear" w:color="auto" w:fill="auto"/>
            <w:vAlign w:val="bottom"/>
          </w:tcPr>
          <w:p w14:paraId="548AA18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Milpa Alta.</w:t>
            </w:r>
          </w:p>
        </w:tc>
        <w:tc>
          <w:tcPr>
            <w:tcW w:w="1231" w:type="dxa"/>
            <w:shd w:val="clear" w:color="auto" w:fill="auto"/>
            <w:vAlign w:val="bottom"/>
          </w:tcPr>
          <w:p w14:paraId="6563EA1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87.89</w:t>
            </w:r>
          </w:p>
        </w:tc>
        <w:tc>
          <w:tcPr>
            <w:tcW w:w="1151" w:type="dxa"/>
            <w:shd w:val="clear" w:color="auto" w:fill="auto"/>
            <w:vAlign w:val="bottom"/>
          </w:tcPr>
          <w:p w14:paraId="4517A48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95.46</w:t>
            </w:r>
          </w:p>
        </w:tc>
        <w:tc>
          <w:tcPr>
            <w:tcW w:w="1420" w:type="dxa"/>
            <w:shd w:val="clear" w:color="auto" w:fill="auto"/>
            <w:vAlign w:val="bottom"/>
          </w:tcPr>
          <w:p w14:paraId="3710CAA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7.57</w:t>
            </w:r>
          </w:p>
        </w:tc>
      </w:tr>
      <w:tr w:rsidR="00067C34" w14:paraId="2C1FDB96" w14:textId="77777777">
        <w:trPr>
          <w:trHeight w:val="288"/>
        </w:trPr>
        <w:tc>
          <w:tcPr>
            <w:tcW w:w="771" w:type="dxa"/>
            <w:shd w:val="clear" w:color="auto" w:fill="auto"/>
            <w:vAlign w:val="bottom"/>
          </w:tcPr>
          <w:p w14:paraId="4D0E878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w:t>
            </w:r>
          </w:p>
        </w:tc>
        <w:tc>
          <w:tcPr>
            <w:tcW w:w="4635" w:type="dxa"/>
            <w:shd w:val="clear" w:color="auto" w:fill="auto"/>
            <w:vAlign w:val="bottom"/>
          </w:tcPr>
          <w:p w14:paraId="4171981D"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Álvaro Obregón.</w:t>
            </w:r>
          </w:p>
        </w:tc>
        <w:tc>
          <w:tcPr>
            <w:tcW w:w="1231" w:type="dxa"/>
            <w:shd w:val="clear" w:color="auto" w:fill="auto"/>
            <w:vAlign w:val="bottom"/>
          </w:tcPr>
          <w:p w14:paraId="3DE55D1D"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87.70</w:t>
            </w:r>
          </w:p>
        </w:tc>
        <w:tc>
          <w:tcPr>
            <w:tcW w:w="1151" w:type="dxa"/>
            <w:shd w:val="clear" w:color="auto" w:fill="auto"/>
            <w:vAlign w:val="bottom"/>
          </w:tcPr>
          <w:p w14:paraId="2331ED7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94.61</w:t>
            </w:r>
          </w:p>
        </w:tc>
        <w:tc>
          <w:tcPr>
            <w:tcW w:w="1420" w:type="dxa"/>
            <w:shd w:val="clear" w:color="auto" w:fill="auto"/>
            <w:vAlign w:val="bottom"/>
          </w:tcPr>
          <w:p w14:paraId="4D6EBB9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6.91</w:t>
            </w:r>
          </w:p>
        </w:tc>
      </w:tr>
      <w:tr w:rsidR="00067C34" w14:paraId="0D73E568" w14:textId="77777777">
        <w:trPr>
          <w:trHeight w:val="288"/>
        </w:trPr>
        <w:tc>
          <w:tcPr>
            <w:tcW w:w="771" w:type="dxa"/>
            <w:shd w:val="clear" w:color="auto" w:fill="auto"/>
            <w:vAlign w:val="bottom"/>
          </w:tcPr>
          <w:p w14:paraId="5D37DEC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11</w:t>
            </w:r>
          </w:p>
        </w:tc>
        <w:tc>
          <w:tcPr>
            <w:tcW w:w="4635" w:type="dxa"/>
            <w:shd w:val="clear" w:color="auto" w:fill="auto"/>
            <w:vAlign w:val="bottom"/>
          </w:tcPr>
          <w:p w14:paraId="4369AD7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Alcaldía Coyoacán.</w:t>
            </w:r>
          </w:p>
        </w:tc>
        <w:tc>
          <w:tcPr>
            <w:tcW w:w="1231" w:type="dxa"/>
            <w:shd w:val="clear" w:color="auto" w:fill="auto"/>
            <w:vAlign w:val="bottom"/>
          </w:tcPr>
          <w:p w14:paraId="482F9048"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88.67</w:t>
            </w:r>
          </w:p>
        </w:tc>
        <w:tc>
          <w:tcPr>
            <w:tcW w:w="1151" w:type="dxa"/>
            <w:shd w:val="clear" w:color="auto" w:fill="auto"/>
            <w:vAlign w:val="bottom"/>
          </w:tcPr>
          <w:p w14:paraId="63BEF7E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93.27</w:t>
            </w:r>
          </w:p>
        </w:tc>
        <w:tc>
          <w:tcPr>
            <w:tcW w:w="1420" w:type="dxa"/>
            <w:shd w:val="clear" w:color="auto" w:fill="auto"/>
            <w:vAlign w:val="bottom"/>
          </w:tcPr>
          <w:p w14:paraId="3038C89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4.60</w:t>
            </w:r>
          </w:p>
        </w:tc>
      </w:tr>
    </w:tbl>
    <w:p w14:paraId="32348220"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2370DA12"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3B6AB337"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076A142F"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w:t>
      </w:r>
      <w:r>
        <w:rPr>
          <w:rFonts w:ascii="Arial" w:eastAsia="Arial" w:hAnsi="Arial" w:cs="Arial"/>
          <w:color w:val="000000"/>
          <w:sz w:val="16"/>
          <w:szCs w:val="16"/>
        </w:rPr>
        <w:t>efiere a la información que se encuentra publicada y actualizada en la Plataforma Nacional de Transparencia (PNT) del sujeto obligado.</w:t>
      </w:r>
    </w:p>
    <w:p w14:paraId="0B950254" w14:textId="77777777" w:rsidR="00067C34" w:rsidRDefault="00BA3CD1">
      <w:pPr>
        <w:spacing w:before="280" w:after="280" w:line="360" w:lineRule="auto"/>
        <w:jc w:val="both"/>
        <w:rPr>
          <w:rFonts w:ascii="Arial" w:eastAsia="Arial" w:hAnsi="Arial" w:cs="Arial"/>
        </w:rPr>
      </w:pPr>
      <w:r>
        <w:rPr>
          <w:rFonts w:ascii="Arial" w:eastAsia="Arial" w:hAnsi="Arial" w:cs="Arial"/>
        </w:rPr>
        <w:t>Las alcaldías Benito Juárez, Iztapalapa y Miguel Hidalgo atendieron en su totalidad las recomendaciones y observaciones e</w:t>
      </w:r>
      <w:r>
        <w:rPr>
          <w:rFonts w:ascii="Arial" w:eastAsia="Arial" w:hAnsi="Arial" w:cs="Arial"/>
        </w:rPr>
        <w:t xml:space="preserve">mitidas en la Segunda Evaluación Vinculante 2020; no obstante 8 de ellas, si bien cumplen parcialmente con un IGOT superior al 90, todavía tienen áreas de oportunidad en la publicación y actualización de la información. </w:t>
      </w:r>
    </w:p>
    <w:p w14:paraId="6E870D48" w14:textId="77777777" w:rsidR="00067C34" w:rsidRDefault="00BA3CD1">
      <w:pPr>
        <w:spacing w:before="280" w:after="280" w:line="360" w:lineRule="auto"/>
        <w:jc w:val="both"/>
        <w:rPr>
          <w:rFonts w:ascii="Arial" w:eastAsia="Arial" w:hAnsi="Arial" w:cs="Arial"/>
        </w:rPr>
      </w:pPr>
      <w:r>
        <w:rPr>
          <w:rFonts w:ascii="Arial" w:eastAsia="Arial" w:hAnsi="Arial" w:cs="Arial"/>
        </w:rPr>
        <w:t>Se destaca el incremento en el punt</w:t>
      </w:r>
      <w:r>
        <w:rPr>
          <w:rFonts w:ascii="Arial" w:eastAsia="Arial" w:hAnsi="Arial" w:cs="Arial"/>
        </w:rPr>
        <w:t>aje de la Alcaldía Tlalpan, toda vez que de contar en la Segunda Evaluación Vinculante 2020 con un IGOT del 64.92, actualmente cuenta con un IGOT del 96.14.</w:t>
      </w:r>
    </w:p>
    <w:p w14:paraId="4E1568E9" w14:textId="77777777" w:rsidR="00067C34" w:rsidRDefault="00BA3CD1">
      <w:pPr>
        <w:spacing w:before="280" w:line="360" w:lineRule="auto"/>
        <w:jc w:val="center"/>
        <w:rPr>
          <w:rFonts w:ascii="Arial" w:eastAsia="Arial" w:hAnsi="Arial" w:cs="Arial"/>
        </w:rPr>
      </w:pPr>
      <w:r>
        <w:rPr>
          <w:rFonts w:ascii="Arial" w:eastAsia="Arial" w:hAnsi="Arial" w:cs="Arial"/>
          <w:noProof/>
        </w:rPr>
        <w:drawing>
          <wp:inline distT="0" distB="0" distL="0" distR="0" wp14:anchorId="62F287DB" wp14:editId="0D52D113">
            <wp:extent cx="5753100" cy="3705225"/>
            <wp:effectExtent l="0" t="0" r="0" b="0"/>
            <wp:docPr id="1277849395" name="Gráfico 1277849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667FE6" w14:textId="77777777" w:rsidR="00067C34" w:rsidRDefault="00067C34">
      <w:pPr>
        <w:spacing w:line="360" w:lineRule="auto"/>
        <w:jc w:val="both"/>
        <w:rPr>
          <w:rFonts w:ascii="Arial" w:eastAsia="Arial" w:hAnsi="Arial" w:cs="Arial"/>
        </w:rPr>
      </w:pPr>
    </w:p>
    <w:p w14:paraId="45455872" w14:textId="77777777" w:rsidR="00067C34" w:rsidRDefault="00BA3CD1">
      <w:pPr>
        <w:spacing w:after="280" w:line="360" w:lineRule="auto"/>
        <w:jc w:val="both"/>
        <w:rPr>
          <w:rFonts w:ascii="Arial" w:eastAsia="Arial" w:hAnsi="Arial" w:cs="Arial"/>
        </w:rPr>
      </w:pPr>
      <w:r>
        <w:rPr>
          <w:rFonts w:ascii="Arial" w:eastAsia="Arial" w:hAnsi="Arial" w:cs="Arial"/>
        </w:rPr>
        <w:t xml:space="preserve">Con relación a la Segunda Evaluación Vinculante 2020, este ámbito tuvo actualmente un incremento sustantivo, puesto que pasó de tener un IGOT de 90.1 a uno de 97.7 puntos; manteniéndose con un </w:t>
      </w:r>
      <w:r>
        <w:rPr>
          <w:rFonts w:ascii="Arial" w:eastAsia="Arial" w:hAnsi="Arial" w:cs="Arial"/>
          <w:b/>
        </w:rPr>
        <w:t>cumplimiento parcial</w:t>
      </w:r>
      <w:r>
        <w:rPr>
          <w:rFonts w:ascii="Arial" w:eastAsia="Arial" w:hAnsi="Arial" w:cs="Arial"/>
        </w:rPr>
        <w:t xml:space="preserve"> de las obligaciones de transparencia de la</w:t>
      </w:r>
      <w:r>
        <w:rPr>
          <w:rFonts w:ascii="Arial" w:eastAsia="Arial" w:hAnsi="Arial" w:cs="Arial"/>
        </w:rPr>
        <w:t xml:space="preserve"> Ley de Transparencia local. Este ámbito tuvo un incremento de 7.58 puntos dentro de su índice.</w:t>
      </w:r>
    </w:p>
    <w:p w14:paraId="105EE89B" w14:textId="77777777" w:rsidR="00067C34" w:rsidRDefault="00BA3CD1">
      <w:pPr>
        <w:spacing w:before="280" w:after="280" w:line="360" w:lineRule="auto"/>
        <w:jc w:val="both"/>
        <w:rPr>
          <w:rFonts w:ascii="Arial" w:eastAsia="Arial" w:hAnsi="Arial" w:cs="Arial"/>
        </w:rPr>
      </w:pPr>
      <w:r>
        <w:rPr>
          <w:rFonts w:ascii="Arial" w:eastAsia="Arial" w:hAnsi="Arial" w:cs="Arial"/>
        </w:rPr>
        <w:t>.</w:t>
      </w:r>
      <w:r>
        <w:br w:type="page"/>
      </w:r>
    </w:p>
    <w:p w14:paraId="240E37F6" w14:textId="77777777" w:rsidR="00067C34" w:rsidRDefault="00BA3CD1">
      <w:pPr>
        <w:pStyle w:val="Ttulo1"/>
        <w:rPr>
          <w:rFonts w:ascii="Arial" w:eastAsia="Arial" w:hAnsi="Arial" w:cs="Arial"/>
          <w:b/>
          <w:color w:val="000000"/>
          <w:sz w:val="24"/>
          <w:szCs w:val="24"/>
        </w:rPr>
      </w:pPr>
      <w:bookmarkStart w:id="14" w:name="_heading=h.1hmsyys" w:colFirst="0" w:colLast="0"/>
      <w:bookmarkEnd w:id="14"/>
      <w:r>
        <w:rPr>
          <w:rFonts w:ascii="Arial" w:eastAsia="Arial" w:hAnsi="Arial" w:cs="Arial"/>
          <w:b/>
          <w:color w:val="000000"/>
          <w:sz w:val="24"/>
          <w:szCs w:val="24"/>
        </w:rPr>
        <w:t>PODER LEGISLATIVO</w:t>
      </w:r>
    </w:p>
    <w:p w14:paraId="50858DF1"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El ámbito del Poder Legislativo está integrado por dos sujetos obligados, de conformidad con el Padrón de sujetos obligados supeditados al </w:t>
      </w:r>
      <w:r>
        <w:rPr>
          <w:rFonts w:ascii="Arial" w:eastAsia="Arial" w:hAnsi="Arial" w:cs="Arial"/>
        </w:rPr>
        <w:t>cumplimiento de la Ley de Transparencia, Acceso a la Información Pública y Rendición de Cuentas de la Ciudad de México y de la Ley de Protección de Datos Personales en Posesión de los sujetos obligados de la Ciudad de México vigente.</w:t>
      </w:r>
    </w:p>
    <w:p w14:paraId="2EA32B85" w14:textId="77777777" w:rsidR="00067C34" w:rsidRDefault="00BA3CD1">
      <w:pPr>
        <w:spacing w:before="280" w:after="280" w:line="360" w:lineRule="auto"/>
        <w:jc w:val="both"/>
        <w:rPr>
          <w:rFonts w:ascii="Arial" w:eastAsia="Arial" w:hAnsi="Arial" w:cs="Arial"/>
        </w:rPr>
      </w:pPr>
      <w:r>
        <w:rPr>
          <w:rFonts w:ascii="Arial" w:eastAsia="Arial" w:hAnsi="Arial" w:cs="Arial"/>
        </w:rPr>
        <w:t>Ambos fueron evaluados</w:t>
      </w:r>
      <w:r>
        <w:rPr>
          <w:rFonts w:ascii="Arial" w:eastAsia="Arial" w:hAnsi="Arial" w:cs="Arial"/>
        </w:rPr>
        <w:t xml:space="preserve"> y recibieron recomendaciones y observaciones en la Segunda Evaluación Vinculante 2020. </w:t>
      </w:r>
    </w:p>
    <w:p w14:paraId="44C96668" w14:textId="77777777" w:rsidR="00067C34" w:rsidRDefault="00BA3CD1">
      <w:pPr>
        <w:spacing w:before="280" w:after="280" w:line="360" w:lineRule="auto"/>
        <w:jc w:val="both"/>
        <w:rPr>
          <w:rFonts w:ascii="Arial" w:eastAsia="Arial" w:hAnsi="Arial" w:cs="Arial"/>
        </w:rPr>
      </w:pPr>
      <w:r>
        <w:rPr>
          <w:rFonts w:ascii="Arial" w:eastAsia="Arial" w:hAnsi="Arial" w:cs="Arial"/>
        </w:rPr>
        <w:t>A pesar de haber solventado algunas recomendaciones, tanto el Congreso de la Ciudad de México, como la Auditoría Superior de la Ciudad de México, siguen presentado áre</w:t>
      </w:r>
      <w:r>
        <w:rPr>
          <w:rFonts w:ascii="Arial" w:eastAsia="Arial" w:hAnsi="Arial" w:cs="Arial"/>
        </w:rPr>
        <w:t>as de oportunidad con relación a la publicación y actualización de la información.</w:t>
      </w:r>
    </w:p>
    <w:p w14:paraId="7D6A7C7E" w14:textId="77777777" w:rsidR="00067C34" w:rsidRDefault="00BA3CD1">
      <w:pPr>
        <w:pStyle w:val="Ttulo2"/>
        <w:jc w:val="both"/>
        <w:rPr>
          <w:rFonts w:ascii="Arial" w:eastAsia="Arial" w:hAnsi="Arial" w:cs="Arial"/>
          <w:b/>
          <w:color w:val="000000"/>
          <w:sz w:val="24"/>
          <w:szCs w:val="24"/>
        </w:rPr>
      </w:pPr>
      <w:bookmarkStart w:id="15" w:name="_heading=h.41mghml" w:colFirst="0" w:colLast="0"/>
      <w:bookmarkEnd w:id="15"/>
      <w:r>
        <w:rPr>
          <w:rFonts w:ascii="Arial" w:eastAsia="Arial" w:hAnsi="Arial" w:cs="Arial"/>
          <w:b/>
          <w:color w:val="000000"/>
          <w:sz w:val="24"/>
          <w:szCs w:val="24"/>
        </w:rPr>
        <w:t>Análisis global de cumplimiento del Poder Legislativo</w:t>
      </w:r>
    </w:p>
    <w:p w14:paraId="7936F05F" w14:textId="77777777" w:rsidR="00067C34" w:rsidRDefault="00BA3CD1">
      <w:pPr>
        <w:spacing w:before="280" w:after="280" w:line="360" w:lineRule="auto"/>
        <w:jc w:val="both"/>
        <w:rPr>
          <w:rFonts w:ascii="Arial" w:eastAsia="Arial" w:hAnsi="Arial" w:cs="Arial"/>
          <w:u w:val="single"/>
        </w:rPr>
      </w:pPr>
      <w:r>
        <w:rPr>
          <w:rFonts w:ascii="Arial" w:eastAsia="Arial" w:hAnsi="Arial" w:cs="Arial"/>
          <w:u w:val="single"/>
        </w:rPr>
        <w:t>Índices Globales de Cumplimiento de las obligaciones de transparencia</w:t>
      </w:r>
    </w:p>
    <w:p w14:paraId="4BB05D6E" w14:textId="77777777" w:rsidR="00067C34" w:rsidRDefault="00BA3CD1">
      <w:pPr>
        <w:spacing w:before="280" w:after="280" w:line="360" w:lineRule="auto"/>
        <w:jc w:val="both"/>
        <w:rPr>
          <w:rFonts w:ascii="Arial" w:eastAsia="Arial" w:hAnsi="Arial" w:cs="Arial"/>
        </w:rPr>
      </w:pPr>
      <w:r>
        <w:rPr>
          <w:rFonts w:ascii="Arial" w:eastAsia="Arial" w:hAnsi="Arial" w:cs="Arial"/>
        </w:rPr>
        <w:t>El ámbito del Poder Legislativo obtuvo en la Terc</w:t>
      </w:r>
      <w:r>
        <w:rPr>
          <w:rFonts w:ascii="Arial" w:eastAsia="Arial" w:hAnsi="Arial" w:cs="Arial"/>
        </w:rPr>
        <w:t>era Evaluación Vinculante 2020 un IGOT de 96.2, el cual está compuesto por un índice de 95.75 en lo que corresponde a la Plataforma Nacional de Transparencia (PNT) y un índice de 96.60 en lo que se refiere al Portal de Transparencia (PI).</w:t>
      </w:r>
    </w:p>
    <w:p w14:paraId="47FD149C" w14:textId="77777777" w:rsidR="00067C34" w:rsidRDefault="00BA3CD1">
      <w:pPr>
        <w:spacing w:before="280" w:after="280" w:line="360" w:lineRule="auto"/>
        <w:jc w:val="both"/>
        <w:rPr>
          <w:rFonts w:ascii="Arial" w:eastAsia="Arial" w:hAnsi="Arial" w:cs="Arial"/>
        </w:rPr>
      </w:pPr>
      <w:r>
        <w:rPr>
          <w:rFonts w:ascii="Arial" w:eastAsia="Arial" w:hAnsi="Arial" w:cs="Arial"/>
        </w:rPr>
        <w:t>Los sujetos oblig</w:t>
      </w:r>
      <w:r>
        <w:rPr>
          <w:rFonts w:ascii="Arial" w:eastAsia="Arial" w:hAnsi="Arial" w:cs="Arial"/>
        </w:rPr>
        <w:t>ados, así como su Índice de Cumplimiento de obligaciones de transparencia del Portal de Internet (IGOT-PI), el de la Plataforma Nacional de Transparencia (IGOT-PNT) y el Índice General de Cumplimiento de obligaciones de transparencia (IGOT) se presentan en</w:t>
      </w:r>
      <w:r>
        <w:rPr>
          <w:rFonts w:ascii="Arial" w:eastAsia="Arial" w:hAnsi="Arial" w:cs="Arial"/>
        </w:rPr>
        <w:t xml:space="preserve"> la siguiente tabla, ordenados de forma descendente, respecto del IGOT: </w:t>
      </w:r>
    </w:p>
    <w:p w14:paraId="530C81BB" w14:textId="77777777" w:rsidR="00067C34" w:rsidRDefault="00BA3CD1">
      <w:pPr>
        <w:spacing w:before="280"/>
        <w:jc w:val="both"/>
        <w:rPr>
          <w:rFonts w:ascii="Arial" w:eastAsia="Arial" w:hAnsi="Arial" w:cs="Arial"/>
          <w:b/>
        </w:rPr>
      </w:pPr>
      <w:r>
        <w:rPr>
          <w:rFonts w:ascii="Arial" w:eastAsia="Arial" w:hAnsi="Arial" w:cs="Arial"/>
          <w:b/>
        </w:rPr>
        <w:t>Comparativo de índices entre la Segunda Evaluación Vinculante 2020 y la Tercera Evaluación Vinculante 2020</w:t>
      </w:r>
    </w:p>
    <w:tbl>
      <w:tblPr>
        <w:tblStyle w:val="aff7"/>
        <w:tblW w:w="9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
        <w:gridCol w:w="5579"/>
        <w:gridCol w:w="927"/>
        <w:gridCol w:w="927"/>
        <w:gridCol w:w="1135"/>
      </w:tblGrid>
      <w:tr w:rsidR="00067C34" w14:paraId="396119C1" w14:textId="77777777">
        <w:trPr>
          <w:trHeight w:val="542"/>
        </w:trPr>
        <w:tc>
          <w:tcPr>
            <w:tcW w:w="669" w:type="dxa"/>
            <w:shd w:val="clear" w:color="auto" w:fill="F4B084"/>
            <w:vAlign w:val="center"/>
          </w:tcPr>
          <w:p w14:paraId="21D9D3B4"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5579" w:type="dxa"/>
            <w:shd w:val="clear" w:color="auto" w:fill="F4B084"/>
            <w:vAlign w:val="center"/>
          </w:tcPr>
          <w:p w14:paraId="3C9B6207"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927" w:type="dxa"/>
            <w:shd w:val="clear" w:color="auto" w:fill="F4B084"/>
            <w:vAlign w:val="center"/>
          </w:tcPr>
          <w:p w14:paraId="300C84E1"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2da</w:t>
            </w:r>
          </w:p>
        </w:tc>
        <w:tc>
          <w:tcPr>
            <w:tcW w:w="927" w:type="dxa"/>
            <w:shd w:val="clear" w:color="auto" w:fill="F4B084"/>
            <w:vAlign w:val="center"/>
          </w:tcPr>
          <w:p w14:paraId="6B527983"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1135" w:type="dxa"/>
            <w:shd w:val="clear" w:color="auto" w:fill="F4B084"/>
            <w:vAlign w:val="center"/>
          </w:tcPr>
          <w:p w14:paraId="560C8542"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12C1E136" w14:textId="77777777">
        <w:trPr>
          <w:trHeight w:val="265"/>
        </w:trPr>
        <w:tc>
          <w:tcPr>
            <w:tcW w:w="669" w:type="dxa"/>
            <w:shd w:val="clear" w:color="auto" w:fill="auto"/>
            <w:vAlign w:val="bottom"/>
          </w:tcPr>
          <w:p w14:paraId="5D25E6B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w:t>
            </w:r>
          </w:p>
        </w:tc>
        <w:tc>
          <w:tcPr>
            <w:tcW w:w="5579" w:type="dxa"/>
            <w:shd w:val="clear" w:color="auto" w:fill="auto"/>
            <w:vAlign w:val="bottom"/>
          </w:tcPr>
          <w:p w14:paraId="1210E00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Congreso de la Ciudad de México.</w:t>
            </w:r>
          </w:p>
        </w:tc>
        <w:tc>
          <w:tcPr>
            <w:tcW w:w="927" w:type="dxa"/>
            <w:shd w:val="clear" w:color="auto" w:fill="auto"/>
            <w:vAlign w:val="bottom"/>
          </w:tcPr>
          <w:p w14:paraId="2C6E8B4A"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95.77</w:t>
            </w:r>
          </w:p>
        </w:tc>
        <w:tc>
          <w:tcPr>
            <w:tcW w:w="927" w:type="dxa"/>
            <w:shd w:val="clear" w:color="auto" w:fill="auto"/>
            <w:vAlign w:val="bottom"/>
          </w:tcPr>
          <w:p w14:paraId="27E2523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98.28</w:t>
            </w:r>
          </w:p>
        </w:tc>
        <w:tc>
          <w:tcPr>
            <w:tcW w:w="1135" w:type="dxa"/>
            <w:shd w:val="clear" w:color="auto" w:fill="auto"/>
            <w:vAlign w:val="bottom"/>
          </w:tcPr>
          <w:p w14:paraId="307850D6"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2.51</w:t>
            </w:r>
          </w:p>
        </w:tc>
      </w:tr>
      <w:tr w:rsidR="00067C34" w14:paraId="510E736D" w14:textId="77777777">
        <w:trPr>
          <w:trHeight w:val="265"/>
        </w:trPr>
        <w:tc>
          <w:tcPr>
            <w:tcW w:w="669" w:type="dxa"/>
            <w:shd w:val="clear" w:color="auto" w:fill="auto"/>
            <w:vAlign w:val="bottom"/>
          </w:tcPr>
          <w:p w14:paraId="32E98253"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w:t>
            </w:r>
          </w:p>
        </w:tc>
        <w:tc>
          <w:tcPr>
            <w:tcW w:w="5579" w:type="dxa"/>
            <w:shd w:val="clear" w:color="auto" w:fill="auto"/>
            <w:vAlign w:val="bottom"/>
          </w:tcPr>
          <w:p w14:paraId="43397C5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Auditoría Superior de la Ciudad de México.</w:t>
            </w:r>
          </w:p>
        </w:tc>
        <w:tc>
          <w:tcPr>
            <w:tcW w:w="927" w:type="dxa"/>
            <w:shd w:val="clear" w:color="auto" w:fill="auto"/>
            <w:vAlign w:val="bottom"/>
          </w:tcPr>
          <w:p w14:paraId="0F644624"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88.68</w:t>
            </w:r>
          </w:p>
        </w:tc>
        <w:tc>
          <w:tcPr>
            <w:tcW w:w="927" w:type="dxa"/>
            <w:shd w:val="clear" w:color="auto" w:fill="auto"/>
            <w:vAlign w:val="bottom"/>
          </w:tcPr>
          <w:p w14:paraId="14E3847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94.07</w:t>
            </w:r>
          </w:p>
        </w:tc>
        <w:tc>
          <w:tcPr>
            <w:tcW w:w="1135" w:type="dxa"/>
            <w:shd w:val="clear" w:color="auto" w:fill="auto"/>
            <w:vAlign w:val="bottom"/>
          </w:tcPr>
          <w:p w14:paraId="775D4AE0"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5.39</w:t>
            </w:r>
          </w:p>
        </w:tc>
      </w:tr>
    </w:tbl>
    <w:p w14:paraId="326F06C6"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68639C2A"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506AE6FA"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302BD7FE"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w:t>
      </w:r>
      <w:r>
        <w:rPr>
          <w:rFonts w:ascii="Arial" w:eastAsia="Arial" w:hAnsi="Arial" w:cs="Arial"/>
          <w:color w:val="000000"/>
          <w:sz w:val="16"/>
          <w:szCs w:val="16"/>
        </w:rPr>
        <w:t>efiere a la información que se encuentra publicada y actualizada en la Plataforma Nacional de Transparencia (PNT) del sujeto obligado.</w:t>
      </w:r>
    </w:p>
    <w:p w14:paraId="1D09F694"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Los sujetos obligados que integran este ámbito atendieron las recomendaciones y observaciones emitidas en la Segunda Evaluación Vinculante 2020, no obstante, cuentan con un cumplimiento parcial, debido a que cuentan con un IGOT superior al 94. </w:t>
      </w:r>
    </w:p>
    <w:p w14:paraId="2245544C" w14:textId="77777777" w:rsidR="00067C34" w:rsidRDefault="00BA3CD1">
      <w:pPr>
        <w:spacing w:before="280" w:after="280" w:line="360" w:lineRule="auto"/>
        <w:jc w:val="both"/>
        <w:rPr>
          <w:rFonts w:ascii="Arial" w:eastAsia="Arial" w:hAnsi="Arial" w:cs="Arial"/>
        </w:rPr>
      </w:pPr>
      <w:r>
        <w:rPr>
          <w:rFonts w:ascii="Arial" w:eastAsia="Arial" w:hAnsi="Arial" w:cs="Arial"/>
        </w:rPr>
        <w:t>Cabe destac</w:t>
      </w:r>
      <w:r>
        <w:rPr>
          <w:rFonts w:ascii="Arial" w:eastAsia="Arial" w:hAnsi="Arial" w:cs="Arial"/>
        </w:rPr>
        <w:t xml:space="preserve">ar que el Congreso de la Ciudad de México incremento su puntaje correspondiente al IGOT, ya que de tener 95.77 en la Segunda Evaluación Vinculante 2020, actualmente cuanta con un 98.28. </w:t>
      </w:r>
    </w:p>
    <w:p w14:paraId="58BFBADB" w14:textId="77777777" w:rsidR="00067C34" w:rsidRDefault="00BA3CD1">
      <w:pPr>
        <w:spacing w:before="280" w:after="280" w:line="360" w:lineRule="auto"/>
        <w:jc w:val="both"/>
        <w:rPr>
          <w:rFonts w:ascii="Arial" w:eastAsia="Arial" w:hAnsi="Arial" w:cs="Arial"/>
        </w:rPr>
      </w:pPr>
      <w:r>
        <w:rPr>
          <w:rFonts w:ascii="Arial" w:eastAsia="Arial" w:hAnsi="Arial" w:cs="Arial"/>
        </w:rPr>
        <w:t>Asimismo, la Auditoría Superior de la Ciudad de México tuvo un incremento en el IGOT del 88.68 a un 94.07 obtenido en esta evaluación.</w:t>
      </w:r>
    </w:p>
    <w:p w14:paraId="4E7035D4" w14:textId="77777777" w:rsidR="00067C34" w:rsidRDefault="00067C34">
      <w:pPr>
        <w:spacing w:before="280" w:after="280" w:line="360" w:lineRule="auto"/>
        <w:jc w:val="both"/>
        <w:rPr>
          <w:rFonts w:ascii="Arial" w:eastAsia="Arial" w:hAnsi="Arial" w:cs="Arial"/>
        </w:rPr>
      </w:pPr>
    </w:p>
    <w:p w14:paraId="41CDF0CA" w14:textId="77777777" w:rsidR="00067C34" w:rsidRDefault="00BA3CD1">
      <w:pPr>
        <w:spacing w:before="280" w:after="280" w:line="360" w:lineRule="auto"/>
        <w:jc w:val="center"/>
        <w:rPr>
          <w:rFonts w:ascii="Arial" w:eastAsia="Arial" w:hAnsi="Arial" w:cs="Arial"/>
          <w:highlight w:val="yellow"/>
        </w:rPr>
      </w:pPr>
      <w:r>
        <w:rPr>
          <w:noProof/>
        </w:rPr>
        <w:drawing>
          <wp:inline distT="0" distB="0" distL="0" distR="0" wp14:anchorId="3D2B8AB0" wp14:editId="4A745209">
            <wp:extent cx="5457825" cy="3657600"/>
            <wp:effectExtent l="0" t="0" r="0" b="0"/>
            <wp:docPr id="1277849394" name="Gráfico 1277849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9B4901" w14:textId="77777777" w:rsidR="00067C34" w:rsidRDefault="00BA3CD1">
      <w:pPr>
        <w:spacing w:before="280" w:after="280" w:line="360" w:lineRule="auto"/>
        <w:jc w:val="both"/>
        <w:rPr>
          <w:rFonts w:ascii="Arial" w:eastAsia="Arial" w:hAnsi="Arial" w:cs="Arial"/>
        </w:rPr>
      </w:pPr>
      <w:r>
        <w:rPr>
          <w:rFonts w:ascii="Arial" w:eastAsia="Arial" w:hAnsi="Arial" w:cs="Arial"/>
        </w:rPr>
        <w:t>Con relación a la Segunda Evaluación Vinculante 2020, el ámbito del Poder Legislativo tuvo un incremento entre la Segu</w:t>
      </w:r>
      <w:r>
        <w:rPr>
          <w:rFonts w:ascii="Arial" w:eastAsia="Arial" w:hAnsi="Arial" w:cs="Arial"/>
        </w:rPr>
        <w:t xml:space="preserve">nda y la Tercera Evaluación, pasando de tener un IGOT de 92.2 a uno de 96.2, por lo que se encuentra en un </w:t>
      </w:r>
      <w:r>
        <w:rPr>
          <w:rFonts w:ascii="Arial" w:eastAsia="Arial" w:hAnsi="Arial" w:cs="Arial"/>
          <w:b/>
        </w:rPr>
        <w:t xml:space="preserve">cumplimiento parcial </w:t>
      </w:r>
      <w:r>
        <w:rPr>
          <w:rFonts w:ascii="Arial" w:eastAsia="Arial" w:hAnsi="Arial" w:cs="Arial"/>
        </w:rPr>
        <w:t>de las obligaciones de transparencia de la Ley de Transparencia local. Se percibe un incremento de 3.95 puntos dentro de su índi</w:t>
      </w:r>
      <w:r>
        <w:rPr>
          <w:rFonts w:ascii="Arial" w:eastAsia="Arial" w:hAnsi="Arial" w:cs="Arial"/>
        </w:rPr>
        <w:t>ce.</w:t>
      </w:r>
    </w:p>
    <w:p w14:paraId="244C7A1D" w14:textId="77777777" w:rsidR="00067C34" w:rsidRDefault="00067C34">
      <w:pPr>
        <w:spacing w:before="280" w:after="280" w:line="360" w:lineRule="auto"/>
        <w:jc w:val="both"/>
        <w:rPr>
          <w:rFonts w:ascii="Arial" w:eastAsia="Arial" w:hAnsi="Arial" w:cs="Arial"/>
          <w:b/>
        </w:rPr>
      </w:pPr>
    </w:p>
    <w:p w14:paraId="24F580B4" w14:textId="77777777" w:rsidR="00067C34" w:rsidRDefault="00BA3CD1">
      <w:pPr>
        <w:spacing w:before="280" w:after="280" w:line="360" w:lineRule="auto"/>
        <w:jc w:val="both"/>
        <w:rPr>
          <w:rFonts w:ascii="Arial" w:eastAsia="Arial" w:hAnsi="Arial" w:cs="Arial"/>
          <w:b/>
        </w:rPr>
      </w:pPr>
      <w:r>
        <w:br w:type="page"/>
      </w:r>
    </w:p>
    <w:p w14:paraId="79574EE1" w14:textId="77777777" w:rsidR="00067C34" w:rsidRDefault="00BA3CD1">
      <w:pPr>
        <w:pStyle w:val="Ttulo1"/>
        <w:rPr>
          <w:rFonts w:ascii="Arial" w:eastAsia="Arial" w:hAnsi="Arial" w:cs="Arial"/>
          <w:b/>
          <w:color w:val="000000"/>
          <w:sz w:val="24"/>
          <w:szCs w:val="24"/>
        </w:rPr>
      </w:pPr>
      <w:bookmarkStart w:id="16" w:name="_heading=h.2grqrue" w:colFirst="0" w:colLast="0"/>
      <w:bookmarkEnd w:id="16"/>
      <w:r>
        <w:rPr>
          <w:rFonts w:ascii="Arial" w:eastAsia="Arial" w:hAnsi="Arial" w:cs="Arial"/>
          <w:b/>
          <w:color w:val="000000"/>
          <w:sz w:val="24"/>
          <w:szCs w:val="24"/>
        </w:rPr>
        <w:t>PODER JUDICIAL</w:t>
      </w:r>
    </w:p>
    <w:p w14:paraId="257A179C" w14:textId="77777777" w:rsidR="00067C34" w:rsidRDefault="00067C34">
      <w:pPr>
        <w:rPr>
          <w:rFonts w:ascii="Arial" w:eastAsia="Arial" w:hAnsi="Arial" w:cs="Arial"/>
        </w:rPr>
      </w:pPr>
    </w:p>
    <w:p w14:paraId="57E8778A"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El ámbito del Poder Judicial está integrado por dos sujetos obligados, de conformidad con el Padrón de sujetos obligados supeditados al cumplimiento de la Ley de Transparencia, Acceso a la Información Pública y Rendición de Cuentas d</w:t>
      </w:r>
      <w:r>
        <w:rPr>
          <w:rFonts w:ascii="Arial" w:eastAsia="Arial" w:hAnsi="Arial" w:cs="Arial"/>
          <w:color w:val="000000"/>
        </w:rPr>
        <w:t xml:space="preserve">e la Ciudad de México y de la Ley de Protección de Datos Personales en Posesión de los sujetos obligados de la Ciudad de México vigente. </w:t>
      </w:r>
    </w:p>
    <w:p w14:paraId="0C3EC7FF"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Ambos fueron evaluados y recibieron recomendaciones y observaciones en la Segunda Evaluación Vinculante 2020. El Conse</w:t>
      </w:r>
      <w:r>
        <w:rPr>
          <w:rFonts w:ascii="Arial" w:eastAsia="Arial" w:hAnsi="Arial" w:cs="Arial"/>
          <w:color w:val="000000"/>
        </w:rPr>
        <w:t xml:space="preserve">jo de la Judicatura de la Ciudad de México dio atención a todas las recomendaciones y logró dar cumplimiento total del piso mínimo contemplado en la Ley de Transparencia local. </w:t>
      </w:r>
    </w:p>
    <w:p w14:paraId="5F8B3376" w14:textId="77777777" w:rsidR="00067C34" w:rsidRDefault="00BA3CD1">
      <w:pPr>
        <w:spacing w:before="280" w:after="280" w:line="360" w:lineRule="auto"/>
        <w:jc w:val="both"/>
        <w:rPr>
          <w:rFonts w:ascii="Arial" w:eastAsia="Arial" w:hAnsi="Arial" w:cs="Arial"/>
        </w:rPr>
      </w:pPr>
      <w:r>
        <w:rPr>
          <w:rFonts w:ascii="Arial" w:eastAsia="Arial" w:hAnsi="Arial" w:cs="Arial"/>
          <w:color w:val="000000"/>
        </w:rPr>
        <w:t>Por otro lado, el Tribunal Superior de Justicia de la Ciudad de México, a pesa</w:t>
      </w:r>
      <w:r>
        <w:rPr>
          <w:rFonts w:ascii="Arial" w:eastAsia="Arial" w:hAnsi="Arial" w:cs="Arial"/>
          <w:color w:val="000000"/>
        </w:rPr>
        <w:t>r de haber atendido la mayoría de sus observaciones aún presenta áreas de oportunidad con relación a la publicación y actualización de la información relativa a las sentencias.</w:t>
      </w:r>
    </w:p>
    <w:p w14:paraId="7A422E0D" w14:textId="77777777" w:rsidR="00067C34" w:rsidRDefault="00BA3CD1">
      <w:pPr>
        <w:pStyle w:val="Ttulo2"/>
        <w:jc w:val="both"/>
        <w:rPr>
          <w:rFonts w:ascii="Arial" w:eastAsia="Arial" w:hAnsi="Arial" w:cs="Arial"/>
          <w:b/>
          <w:color w:val="000000"/>
          <w:sz w:val="24"/>
          <w:szCs w:val="24"/>
        </w:rPr>
      </w:pPr>
      <w:bookmarkStart w:id="17" w:name="_heading=h.vx1227" w:colFirst="0" w:colLast="0"/>
      <w:bookmarkEnd w:id="17"/>
      <w:r>
        <w:rPr>
          <w:rFonts w:ascii="Arial" w:eastAsia="Arial" w:hAnsi="Arial" w:cs="Arial"/>
          <w:b/>
          <w:color w:val="000000"/>
          <w:sz w:val="24"/>
          <w:szCs w:val="24"/>
        </w:rPr>
        <w:t>Análisis global de cumplimiento del Poder Judicial</w:t>
      </w:r>
    </w:p>
    <w:p w14:paraId="57ED900C" w14:textId="77777777" w:rsidR="00067C34" w:rsidRDefault="00067C34">
      <w:pPr>
        <w:rPr>
          <w:rFonts w:ascii="Arial" w:eastAsia="Arial" w:hAnsi="Arial" w:cs="Arial"/>
        </w:rPr>
      </w:pPr>
    </w:p>
    <w:p w14:paraId="4FBC08C8" w14:textId="77777777" w:rsidR="00067C34" w:rsidRDefault="00BA3CD1">
      <w:pPr>
        <w:spacing w:line="360" w:lineRule="auto"/>
        <w:jc w:val="both"/>
        <w:rPr>
          <w:rFonts w:ascii="Arial" w:eastAsia="Arial" w:hAnsi="Arial" w:cs="Arial"/>
          <w:u w:val="single"/>
        </w:rPr>
      </w:pPr>
      <w:r>
        <w:rPr>
          <w:rFonts w:ascii="Arial" w:eastAsia="Arial" w:hAnsi="Arial" w:cs="Arial"/>
          <w:u w:val="single"/>
        </w:rPr>
        <w:t>Índices Globales de Cumplim</w:t>
      </w:r>
      <w:r>
        <w:rPr>
          <w:rFonts w:ascii="Arial" w:eastAsia="Arial" w:hAnsi="Arial" w:cs="Arial"/>
          <w:u w:val="single"/>
        </w:rPr>
        <w:t>iento de las obligaciones de transparencia</w:t>
      </w:r>
    </w:p>
    <w:p w14:paraId="7BA9B420" w14:textId="77777777" w:rsidR="00067C34" w:rsidRDefault="00BA3CD1">
      <w:pPr>
        <w:spacing w:after="280" w:line="360" w:lineRule="auto"/>
        <w:jc w:val="both"/>
        <w:rPr>
          <w:rFonts w:ascii="Arial" w:eastAsia="Arial" w:hAnsi="Arial" w:cs="Arial"/>
          <w:color w:val="000000"/>
        </w:rPr>
      </w:pPr>
      <w:r>
        <w:rPr>
          <w:rFonts w:ascii="Arial" w:eastAsia="Arial" w:hAnsi="Arial" w:cs="Arial"/>
          <w:color w:val="000000"/>
        </w:rPr>
        <w:t>El ámbito del Poder Judicial obtuvo en la Tercera Evaluación Vinculante 202 un IGOT de 99.8, el cual está compuesto por un índice de 99.74 en lo que corresponde a la Plataforma Nacional de Transparencia (PNT) y un</w:t>
      </w:r>
      <w:r>
        <w:rPr>
          <w:rFonts w:ascii="Arial" w:eastAsia="Arial" w:hAnsi="Arial" w:cs="Arial"/>
          <w:color w:val="000000"/>
        </w:rPr>
        <w:t xml:space="preserve"> índice de 99.77 en lo que se refiere al Portal de Transparencia (PI).</w:t>
      </w:r>
    </w:p>
    <w:p w14:paraId="387016CD"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Los sujetos obligados, así como su Índice de Cumplimiento de obligaciones de transparencia del Portal de Internet (IGOT-PI), el de la Plataforma Nacional de Transparencia (IGOT-PNT) y e</w:t>
      </w:r>
      <w:r>
        <w:rPr>
          <w:rFonts w:ascii="Arial" w:eastAsia="Arial" w:hAnsi="Arial" w:cs="Arial"/>
          <w:color w:val="000000"/>
        </w:rPr>
        <w:t>l Índice General de Cumplimiento de obligaciones de transparencia (IGOT) se presentan en la siguiente tabla, ordenados de forma descendente, respecto del IGOT:</w:t>
      </w:r>
    </w:p>
    <w:p w14:paraId="3F2794F5" w14:textId="77777777" w:rsidR="00067C34" w:rsidRDefault="00BA3CD1">
      <w:pPr>
        <w:spacing w:before="280" w:after="280"/>
        <w:jc w:val="both"/>
        <w:rPr>
          <w:rFonts w:ascii="Arial" w:eastAsia="Arial" w:hAnsi="Arial" w:cs="Arial"/>
          <w:b/>
        </w:rPr>
      </w:pPr>
      <w:r>
        <w:rPr>
          <w:rFonts w:ascii="Arial" w:eastAsia="Arial" w:hAnsi="Arial" w:cs="Arial"/>
          <w:b/>
        </w:rPr>
        <w:t>Comparativo de índices entre la Segunda Evaluación Vinculante 2020 y la Tercera Evaluación Vincu</w:t>
      </w:r>
      <w:r>
        <w:rPr>
          <w:rFonts w:ascii="Arial" w:eastAsia="Arial" w:hAnsi="Arial" w:cs="Arial"/>
          <w:b/>
        </w:rPr>
        <w:t>lante 2020</w:t>
      </w:r>
    </w:p>
    <w:tbl>
      <w:tblPr>
        <w:tblStyle w:val="aff8"/>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4"/>
        <w:gridCol w:w="4671"/>
        <w:gridCol w:w="1107"/>
        <w:gridCol w:w="794"/>
        <w:gridCol w:w="828"/>
        <w:gridCol w:w="1052"/>
      </w:tblGrid>
      <w:tr w:rsidR="00067C34" w14:paraId="46B1405A" w14:textId="77777777">
        <w:trPr>
          <w:trHeight w:val="692"/>
        </w:trPr>
        <w:tc>
          <w:tcPr>
            <w:tcW w:w="894" w:type="dxa"/>
            <w:shd w:val="clear" w:color="auto" w:fill="F4B084"/>
            <w:vAlign w:val="center"/>
          </w:tcPr>
          <w:p w14:paraId="6C8A56B7"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4671" w:type="dxa"/>
            <w:shd w:val="clear" w:color="auto" w:fill="F4B084"/>
            <w:vAlign w:val="center"/>
          </w:tcPr>
          <w:p w14:paraId="122D90E9"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1107" w:type="dxa"/>
            <w:shd w:val="clear" w:color="auto" w:fill="F4B084"/>
            <w:vAlign w:val="center"/>
          </w:tcPr>
          <w:p w14:paraId="791CF9CE"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Ámbito</w:t>
            </w:r>
          </w:p>
        </w:tc>
        <w:tc>
          <w:tcPr>
            <w:tcW w:w="794" w:type="dxa"/>
            <w:shd w:val="clear" w:color="auto" w:fill="F4B084"/>
            <w:vAlign w:val="center"/>
          </w:tcPr>
          <w:p w14:paraId="67A858C2"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2da</w:t>
            </w:r>
          </w:p>
        </w:tc>
        <w:tc>
          <w:tcPr>
            <w:tcW w:w="828" w:type="dxa"/>
            <w:shd w:val="clear" w:color="auto" w:fill="F4B084"/>
            <w:vAlign w:val="center"/>
          </w:tcPr>
          <w:p w14:paraId="4061ED4F"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1052" w:type="dxa"/>
            <w:shd w:val="clear" w:color="auto" w:fill="F4B084"/>
            <w:vAlign w:val="center"/>
          </w:tcPr>
          <w:p w14:paraId="07D9B995"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285661AF" w14:textId="77777777">
        <w:trPr>
          <w:trHeight w:val="400"/>
        </w:trPr>
        <w:tc>
          <w:tcPr>
            <w:tcW w:w="894" w:type="dxa"/>
            <w:vAlign w:val="center"/>
          </w:tcPr>
          <w:p w14:paraId="18FE918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1</w:t>
            </w:r>
          </w:p>
        </w:tc>
        <w:tc>
          <w:tcPr>
            <w:tcW w:w="4671" w:type="dxa"/>
            <w:shd w:val="clear" w:color="auto" w:fill="auto"/>
            <w:vAlign w:val="center"/>
          </w:tcPr>
          <w:p w14:paraId="7921401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Consejo de la Judicatura de la Ciudad de México.</w:t>
            </w:r>
          </w:p>
        </w:tc>
        <w:tc>
          <w:tcPr>
            <w:tcW w:w="1107" w:type="dxa"/>
            <w:shd w:val="clear" w:color="auto" w:fill="auto"/>
            <w:vAlign w:val="center"/>
          </w:tcPr>
          <w:p w14:paraId="0BA52CC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Poder Judicial</w:t>
            </w:r>
          </w:p>
        </w:tc>
        <w:tc>
          <w:tcPr>
            <w:tcW w:w="794" w:type="dxa"/>
            <w:shd w:val="clear" w:color="auto" w:fill="auto"/>
            <w:vAlign w:val="center"/>
          </w:tcPr>
          <w:p w14:paraId="5AB336D7"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99.34</w:t>
            </w:r>
          </w:p>
        </w:tc>
        <w:tc>
          <w:tcPr>
            <w:tcW w:w="828" w:type="dxa"/>
            <w:shd w:val="clear" w:color="auto" w:fill="auto"/>
            <w:vAlign w:val="center"/>
          </w:tcPr>
          <w:p w14:paraId="284BB59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100.00</w:t>
            </w:r>
          </w:p>
        </w:tc>
        <w:tc>
          <w:tcPr>
            <w:tcW w:w="1052" w:type="dxa"/>
            <w:shd w:val="clear" w:color="auto" w:fill="auto"/>
            <w:vAlign w:val="center"/>
          </w:tcPr>
          <w:p w14:paraId="7B813EE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0.66</w:t>
            </w:r>
          </w:p>
        </w:tc>
      </w:tr>
      <w:tr w:rsidR="00067C34" w14:paraId="33D5D57F" w14:textId="77777777">
        <w:trPr>
          <w:trHeight w:val="640"/>
        </w:trPr>
        <w:tc>
          <w:tcPr>
            <w:tcW w:w="894" w:type="dxa"/>
            <w:vAlign w:val="center"/>
          </w:tcPr>
          <w:p w14:paraId="14EE3A8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2</w:t>
            </w:r>
          </w:p>
        </w:tc>
        <w:tc>
          <w:tcPr>
            <w:tcW w:w="4671" w:type="dxa"/>
            <w:shd w:val="clear" w:color="auto" w:fill="auto"/>
            <w:vAlign w:val="center"/>
          </w:tcPr>
          <w:p w14:paraId="124869F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Tribunal Superior de Justicia de la Ciudad de México.</w:t>
            </w:r>
          </w:p>
        </w:tc>
        <w:tc>
          <w:tcPr>
            <w:tcW w:w="1107" w:type="dxa"/>
            <w:shd w:val="clear" w:color="auto" w:fill="auto"/>
            <w:vAlign w:val="center"/>
          </w:tcPr>
          <w:p w14:paraId="7F152A0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Poder Judicial</w:t>
            </w:r>
          </w:p>
        </w:tc>
        <w:tc>
          <w:tcPr>
            <w:tcW w:w="794" w:type="dxa"/>
            <w:shd w:val="clear" w:color="auto" w:fill="auto"/>
            <w:vAlign w:val="center"/>
          </w:tcPr>
          <w:p w14:paraId="69FA227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97.75</w:t>
            </w:r>
          </w:p>
        </w:tc>
        <w:tc>
          <w:tcPr>
            <w:tcW w:w="828" w:type="dxa"/>
            <w:shd w:val="clear" w:color="auto" w:fill="auto"/>
            <w:vAlign w:val="center"/>
          </w:tcPr>
          <w:p w14:paraId="3C08F37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99.51</w:t>
            </w:r>
          </w:p>
        </w:tc>
        <w:tc>
          <w:tcPr>
            <w:tcW w:w="1052" w:type="dxa"/>
            <w:shd w:val="clear" w:color="auto" w:fill="auto"/>
            <w:vAlign w:val="center"/>
          </w:tcPr>
          <w:p w14:paraId="3E71EE7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1.76</w:t>
            </w:r>
          </w:p>
        </w:tc>
      </w:tr>
    </w:tbl>
    <w:p w14:paraId="2D6C3E8E" w14:textId="77777777" w:rsidR="00067C34" w:rsidRDefault="00BA3CD1">
      <w:pPr>
        <w:spacing w:before="280" w:line="360" w:lineRule="auto"/>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2CA8AA20" w14:textId="77777777" w:rsidR="00067C34" w:rsidRDefault="00BA3CD1">
      <w:pPr>
        <w:spacing w:line="360" w:lineRule="auto"/>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5D934D9D" w14:textId="77777777" w:rsidR="00067C34" w:rsidRDefault="00BA3CD1">
      <w:pPr>
        <w:spacing w:line="360" w:lineRule="auto"/>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77155E84" w14:textId="77777777" w:rsidR="00067C34" w:rsidRDefault="00BA3CD1">
      <w:pPr>
        <w:spacing w:line="360" w:lineRule="auto"/>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w:t>
      </w:r>
      <w:r>
        <w:rPr>
          <w:rFonts w:ascii="Arial" w:eastAsia="Arial" w:hAnsi="Arial" w:cs="Arial"/>
          <w:color w:val="000000"/>
          <w:sz w:val="16"/>
          <w:szCs w:val="16"/>
        </w:rPr>
        <w:t>efiere a la información que se encuentra publicada y actualizada en la Plataforma Nacional de Transparencia (PNT) del sujeto obligado.</w:t>
      </w:r>
    </w:p>
    <w:p w14:paraId="09D7F008" w14:textId="77777777" w:rsidR="00067C34" w:rsidRDefault="00067C34">
      <w:pPr>
        <w:spacing w:line="360" w:lineRule="auto"/>
        <w:jc w:val="both"/>
        <w:rPr>
          <w:rFonts w:ascii="Arial" w:eastAsia="Arial" w:hAnsi="Arial" w:cs="Arial"/>
          <w:color w:val="000000"/>
          <w:highlight w:val="yellow"/>
        </w:rPr>
      </w:pPr>
    </w:p>
    <w:p w14:paraId="3C2022F8" w14:textId="77777777" w:rsidR="00067C34" w:rsidRDefault="00BA3CD1">
      <w:pPr>
        <w:spacing w:line="360" w:lineRule="auto"/>
        <w:jc w:val="both"/>
        <w:rPr>
          <w:rFonts w:ascii="Arial" w:eastAsia="Arial" w:hAnsi="Arial" w:cs="Arial"/>
        </w:rPr>
      </w:pPr>
      <w:r>
        <w:rPr>
          <w:rFonts w:ascii="Arial" w:eastAsia="Arial" w:hAnsi="Arial" w:cs="Arial"/>
        </w:rPr>
        <w:t>El Consejo de la Judicatura de la Ciudad de México atendió a todas las recomendaciones y observaciones emitidas en la Se</w:t>
      </w:r>
      <w:r>
        <w:rPr>
          <w:rFonts w:ascii="Arial" w:eastAsia="Arial" w:hAnsi="Arial" w:cs="Arial"/>
        </w:rPr>
        <w:t>gunda Evaluación Vinculante 2020.</w:t>
      </w:r>
    </w:p>
    <w:p w14:paraId="37EA698C" w14:textId="77777777" w:rsidR="00067C34" w:rsidRDefault="00067C34">
      <w:pPr>
        <w:spacing w:line="360" w:lineRule="auto"/>
        <w:jc w:val="both"/>
        <w:rPr>
          <w:rFonts w:ascii="Arial" w:eastAsia="Arial" w:hAnsi="Arial" w:cs="Arial"/>
        </w:rPr>
      </w:pPr>
    </w:p>
    <w:p w14:paraId="36DFF774" w14:textId="77777777" w:rsidR="00067C34" w:rsidRDefault="00BA3CD1">
      <w:pPr>
        <w:spacing w:line="360" w:lineRule="auto"/>
        <w:jc w:val="both"/>
        <w:rPr>
          <w:rFonts w:ascii="Arial" w:eastAsia="Arial" w:hAnsi="Arial" w:cs="Arial"/>
        </w:rPr>
      </w:pPr>
      <w:r>
        <w:rPr>
          <w:rFonts w:ascii="Arial" w:eastAsia="Arial" w:hAnsi="Arial" w:cs="Arial"/>
        </w:rPr>
        <w:t xml:space="preserve">No obstante, el </w:t>
      </w:r>
      <w:r>
        <w:rPr>
          <w:rFonts w:ascii="Arial" w:eastAsia="Arial" w:hAnsi="Arial" w:cs="Arial"/>
          <w:color w:val="000000"/>
        </w:rPr>
        <w:t xml:space="preserve">Tribunal Superior de Justicia de la Ciudad de México </w:t>
      </w:r>
      <w:r>
        <w:rPr>
          <w:rFonts w:ascii="Arial" w:eastAsia="Arial" w:hAnsi="Arial" w:cs="Arial"/>
        </w:rPr>
        <w:t>cuenta con un cumplimiento parcial, ya que obtuvo un IGOT de 99.51.</w:t>
      </w:r>
    </w:p>
    <w:p w14:paraId="4924DD94" w14:textId="77777777" w:rsidR="00067C34" w:rsidRDefault="00067C34">
      <w:pPr>
        <w:spacing w:line="360" w:lineRule="auto"/>
        <w:jc w:val="both"/>
        <w:rPr>
          <w:rFonts w:ascii="Arial" w:eastAsia="Arial" w:hAnsi="Arial" w:cs="Arial"/>
          <w:highlight w:val="yellow"/>
        </w:rPr>
      </w:pPr>
    </w:p>
    <w:p w14:paraId="265558B3" w14:textId="77777777" w:rsidR="00067C34" w:rsidRDefault="00BA3CD1">
      <w:pPr>
        <w:spacing w:after="280" w:line="360" w:lineRule="auto"/>
        <w:jc w:val="center"/>
      </w:pPr>
      <w:r>
        <w:rPr>
          <w:noProof/>
        </w:rPr>
        <w:drawing>
          <wp:inline distT="0" distB="0" distL="0" distR="0" wp14:anchorId="6B7C03C6" wp14:editId="0FA9C156">
            <wp:extent cx="5705475" cy="3714750"/>
            <wp:effectExtent l="0" t="0" r="0" b="0"/>
            <wp:docPr id="1277849397" name="Gráfico 1277849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388E04" w14:textId="77777777" w:rsidR="00067C34" w:rsidRDefault="00BA3CD1">
      <w:pPr>
        <w:spacing w:before="280" w:after="280" w:line="360" w:lineRule="auto"/>
        <w:jc w:val="both"/>
        <w:rPr>
          <w:rFonts w:ascii="Arial" w:eastAsia="Arial" w:hAnsi="Arial" w:cs="Arial"/>
        </w:rPr>
      </w:pPr>
      <w:r>
        <w:rPr>
          <w:rFonts w:ascii="Arial" w:eastAsia="Arial" w:hAnsi="Arial" w:cs="Arial"/>
        </w:rPr>
        <w:t>Con relación a la Segunda Evaluación Vinculante 2020, este ámbito tuvo actualment</w:t>
      </w:r>
      <w:r>
        <w:rPr>
          <w:rFonts w:ascii="Arial" w:eastAsia="Arial" w:hAnsi="Arial" w:cs="Arial"/>
        </w:rPr>
        <w:t>e un incremento, pasando de tener un IGOT de 98.5 a uno de 99.8, por lo que se encuentra en un cumplimiento parcial de las obligaciones de transparencia de la Ley de Transparencia local. Este incremento fue de 1.21 puntos dentro de su índice.</w:t>
      </w:r>
    </w:p>
    <w:p w14:paraId="1BACF1C4" w14:textId="77777777" w:rsidR="00067C34" w:rsidRDefault="00067C34">
      <w:pPr>
        <w:spacing w:before="280" w:after="280" w:line="360" w:lineRule="auto"/>
        <w:jc w:val="both"/>
        <w:rPr>
          <w:rFonts w:ascii="Arial" w:eastAsia="Arial" w:hAnsi="Arial" w:cs="Arial"/>
        </w:rPr>
      </w:pPr>
    </w:p>
    <w:p w14:paraId="54C3BC86" w14:textId="77777777" w:rsidR="00067C34" w:rsidRDefault="00BA3CD1">
      <w:pPr>
        <w:rPr>
          <w:rFonts w:ascii="Arial" w:eastAsia="Arial" w:hAnsi="Arial" w:cs="Arial"/>
          <w:b/>
        </w:rPr>
      </w:pPr>
      <w:r>
        <w:br w:type="page"/>
      </w:r>
    </w:p>
    <w:p w14:paraId="74245617" w14:textId="77777777" w:rsidR="00067C34" w:rsidRDefault="00BA3CD1">
      <w:pPr>
        <w:pStyle w:val="Ttulo1"/>
        <w:rPr>
          <w:rFonts w:ascii="Arial" w:eastAsia="Arial" w:hAnsi="Arial" w:cs="Arial"/>
          <w:b/>
          <w:color w:val="000000"/>
          <w:sz w:val="24"/>
          <w:szCs w:val="24"/>
        </w:rPr>
      </w:pPr>
      <w:bookmarkStart w:id="18" w:name="_heading=h.3fwokq0" w:colFirst="0" w:colLast="0"/>
      <w:bookmarkEnd w:id="18"/>
      <w:r>
        <w:rPr>
          <w:rFonts w:ascii="Arial" w:eastAsia="Arial" w:hAnsi="Arial" w:cs="Arial"/>
          <w:b/>
          <w:color w:val="000000"/>
          <w:sz w:val="24"/>
          <w:szCs w:val="24"/>
        </w:rPr>
        <w:t>ÓRGANOS AUTÓNOMOS</w:t>
      </w:r>
    </w:p>
    <w:p w14:paraId="3107A266" w14:textId="77777777" w:rsidR="00067C34" w:rsidRDefault="00067C34">
      <w:pPr>
        <w:rPr>
          <w:rFonts w:ascii="Arial" w:eastAsia="Arial" w:hAnsi="Arial" w:cs="Arial"/>
        </w:rPr>
      </w:pPr>
    </w:p>
    <w:p w14:paraId="0CEDE838"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En 2019, el ámbito de los órganos autónomos se integraba por 7 sujetos obligados, de conformidad con el Padrón de sujetos obligados supeditados al cumplimiento de la Ley de Transparencia, Acceso a la Información Pública y Rendición de Cuentas de la Ciudad </w:t>
      </w:r>
      <w:r>
        <w:rPr>
          <w:rFonts w:ascii="Arial" w:eastAsia="Arial" w:hAnsi="Arial" w:cs="Arial"/>
        </w:rPr>
        <w:t xml:space="preserve">de México y de la Ley de Protección de Datos Personales en Posesión de los sujetos obligados de la Ciudad de México vigente. </w:t>
      </w:r>
    </w:p>
    <w:p w14:paraId="1DF2528F" w14:textId="77777777" w:rsidR="00067C34" w:rsidRDefault="00BA3CD1">
      <w:pPr>
        <w:spacing w:before="280" w:after="280" w:line="360" w:lineRule="auto"/>
        <w:jc w:val="both"/>
        <w:rPr>
          <w:rFonts w:ascii="Arial" w:eastAsia="Arial" w:hAnsi="Arial" w:cs="Arial"/>
        </w:rPr>
      </w:pPr>
      <w:r>
        <w:rPr>
          <w:rFonts w:ascii="Arial" w:eastAsia="Arial" w:hAnsi="Arial" w:cs="Arial"/>
        </w:rPr>
        <w:t>De ellos, 5 se verificaron en la Tercera Evaluación derivado de las recomendaciones y observaciones que se le realizaron en la Seg</w:t>
      </w:r>
      <w:r>
        <w:rPr>
          <w:rFonts w:ascii="Arial" w:eastAsia="Arial" w:hAnsi="Arial" w:cs="Arial"/>
        </w:rPr>
        <w:t xml:space="preserve">unda Evaluación Vinculante 2020. Al respecto, 2 sujetos obligados atendieron todas las observaciones y alcanzaron a dar cumplimiento total al piso mínimo contemplado en la Ley de Transparencia local. Los otros 3 sujetos obligados verificados del ámbito de </w:t>
      </w:r>
      <w:r>
        <w:rPr>
          <w:rFonts w:ascii="Arial" w:eastAsia="Arial" w:hAnsi="Arial" w:cs="Arial"/>
        </w:rPr>
        <w:t>los órganos autónomos todavía presentan áreas de oportunidad con relación a la publicación y actualización de la información.</w:t>
      </w:r>
    </w:p>
    <w:p w14:paraId="745603D9" w14:textId="77777777" w:rsidR="00067C34" w:rsidRDefault="00BA3CD1">
      <w:pPr>
        <w:pStyle w:val="Ttulo2"/>
        <w:jc w:val="both"/>
        <w:rPr>
          <w:rFonts w:ascii="Arial" w:eastAsia="Arial" w:hAnsi="Arial" w:cs="Arial"/>
          <w:b/>
          <w:color w:val="000000"/>
          <w:sz w:val="24"/>
          <w:szCs w:val="24"/>
        </w:rPr>
      </w:pPr>
      <w:bookmarkStart w:id="19" w:name="_heading=h.1v1yuxt" w:colFirst="0" w:colLast="0"/>
      <w:bookmarkEnd w:id="19"/>
      <w:r>
        <w:rPr>
          <w:rFonts w:ascii="Arial" w:eastAsia="Arial" w:hAnsi="Arial" w:cs="Arial"/>
          <w:b/>
          <w:color w:val="000000"/>
          <w:sz w:val="24"/>
          <w:szCs w:val="24"/>
        </w:rPr>
        <w:t>Análisis global de cumplimiento de los órganos autónomos</w:t>
      </w:r>
    </w:p>
    <w:p w14:paraId="22DE9C1D" w14:textId="77777777" w:rsidR="00067C34" w:rsidRDefault="00BA3CD1">
      <w:pPr>
        <w:spacing w:before="280" w:after="280" w:line="360" w:lineRule="auto"/>
        <w:jc w:val="both"/>
        <w:rPr>
          <w:rFonts w:ascii="Arial" w:eastAsia="Arial" w:hAnsi="Arial" w:cs="Arial"/>
          <w:u w:val="single"/>
        </w:rPr>
      </w:pPr>
      <w:r>
        <w:rPr>
          <w:rFonts w:ascii="Arial" w:eastAsia="Arial" w:hAnsi="Arial" w:cs="Arial"/>
          <w:u w:val="single"/>
        </w:rPr>
        <w:t>Índices Globales de Cumplimiento de las obligaciones de transparencia</w:t>
      </w:r>
    </w:p>
    <w:p w14:paraId="5117B6D0"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El </w:t>
      </w:r>
      <w:r>
        <w:rPr>
          <w:rFonts w:ascii="Arial" w:eastAsia="Arial" w:hAnsi="Arial" w:cs="Arial"/>
        </w:rPr>
        <w:t>ámbito de los Órganos Autónomos obtuvo en la Tercera Evaluación Vinculante 2020 un IGOT de 80.0, el cual está compuesto por un índice de 80.05 en lo que corresponde a la Plataforma Nacional de Transparencia (PNT) y un índice de 80.04 en lo que se refiere a</w:t>
      </w:r>
      <w:r>
        <w:rPr>
          <w:rFonts w:ascii="Arial" w:eastAsia="Arial" w:hAnsi="Arial" w:cs="Arial"/>
        </w:rPr>
        <w:t>l Portal de Transparencia (PI).</w:t>
      </w:r>
    </w:p>
    <w:p w14:paraId="15CD1ED5" w14:textId="77777777" w:rsidR="00067C34" w:rsidRDefault="00BA3CD1">
      <w:pPr>
        <w:spacing w:before="280" w:after="280" w:line="360" w:lineRule="auto"/>
        <w:jc w:val="both"/>
        <w:rPr>
          <w:rFonts w:ascii="Arial" w:eastAsia="Arial" w:hAnsi="Arial" w:cs="Arial"/>
        </w:rPr>
      </w:pPr>
      <w:r>
        <w:rPr>
          <w:rFonts w:ascii="Arial" w:eastAsia="Arial" w:hAnsi="Arial" w:cs="Arial"/>
        </w:rPr>
        <w:t>Los sujetos obligados, así como su Índice de Cumplimiento de obligaciones de transparencia del Portal de Internet (IGOT-PI), el de la Plataforma Nacional de Transparencia (IGOT-PNT) y el Índice General de Cumplimiento de obl</w:t>
      </w:r>
      <w:r>
        <w:rPr>
          <w:rFonts w:ascii="Arial" w:eastAsia="Arial" w:hAnsi="Arial" w:cs="Arial"/>
        </w:rPr>
        <w:t xml:space="preserve">igaciones de transparencia (IGOT) se presentan en la siguiente tabla, ordenados de forma descendente, respecto del IGOT: </w:t>
      </w:r>
    </w:p>
    <w:p w14:paraId="79249FFA" w14:textId="77777777" w:rsidR="00067C34" w:rsidRDefault="00BA3CD1">
      <w:pPr>
        <w:spacing w:before="280"/>
        <w:jc w:val="both"/>
        <w:rPr>
          <w:rFonts w:ascii="Arial" w:eastAsia="Arial" w:hAnsi="Arial" w:cs="Arial"/>
          <w:b/>
        </w:rPr>
      </w:pPr>
      <w:r>
        <w:rPr>
          <w:rFonts w:ascii="Arial" w:eastAsia="Arial" w:hAnsi="Arial" w:cs="Arial"/>
          <w:b/>
        </w:rPr>
        <w:t>Comparativo de índices entre la Segunda Evaluación Vinculante 2020 y la Tercera Evaluación Vinculante 2020</w:t>
      </w:r>
    </w:p>
    <w:tbl>
      <w:tblPr>
        <w:tblStyle w:val="aff9"/>
        <w:tblW w:w="94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
        <w:gridCol w:w="6052"/>
        <w:gridCol w:w="945"/>
        <w:gridCol w:w="945"/>
        <w:gridCol w:w="945"/>
      </w:tblGrid>
      <w:tr w:rsidR="00067C34" w14:paraId="4174A98C" w14:textId="77777777">
        <w:trPr>
          <w:trHeight w:val="588"/>
        </w:trPr>
        <w:tc>
          <w:tcPr>
            <w:tcW w:w="601" w:type="dxa"/>
            <w:shd w:val="clear" w:color="auto" w:fill="F4B084"/>
            <w:vAlign w:val="center"/>
          </w:tcPr>
          <w:p w14:paraId="0D1A286B"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6052" w:type="dxa"/>
            <w:shd w:val="clear" w:color="auto" w:fill="F4B084"/>
            <w:vAlign w:val="center"/>
          </w:tcPr>
          <w:p w14:paraId="3F8D483E"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945" w:type="dxa"/>
            <w:shd w:val="clear" w:color="auto" w:fill="F4B084"/>
            <w:vAlign w:val="center"/>
          </w:tcPr>
          <w:p w14:paraId="2A195548"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w:t>
            </w:r>
            <w:r>
              <w:rPr>
                <w:rFonts w:ascii="Arial" w:eastAsia="Arial" w:hAnsi="Arial" w:cs="Arial"/>
                <w:b/>
                <w:color w:val="000000"/>
                <w:sz w:val="20"/>
                <w:szCs w:val="20"/>
              </w:rPr>
              <w:t>a</w:t>
            </w:r>
          </w:p>
        </w:tc>
        <w:tc>
          <w:tcPr>
            <w:tcW w:w="945" w:type="dxa"/>
            <w:shd w:val="clear" w:color="auto" w:fill="F4B084"/>
            <w:vAlign w:val="center"/>
          </w:tcPr>
          <w:p w14:paraId="28E96E12"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945" w:type="dxa"/>
            <w:shd w:val="clear" w:color="auto" w:fill="F4B084"/>
            <w:vAlign w:val="center"/>
          </w:tcPr>
          <w:p w14:paraId="1E3063E2"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2FBAE2A9" w14:textId="77777777">
        <w:trPr>
          <w:trHeight w:val="288"/>
        </w:trPr>
        <w:tc>
          <w:tcPr>
            <w:tcW w:w="601" w:type="dxa"/>
            <w:shd w:val="clear" w:color="auto" w:fill="auto"/>
            <w:vAlign w:val="center"/>
          </w:tcPr>
          <w:p w14:paraId="33992E8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w:t>
            </w:r>
          </w:p>
        </w:tc>
        <w:tc>
          <w:tcPr>
            <w:tcW w:w="6052" w:type="dxa"/>
            <w:shd w:val="clear" w:color="auto" w:fill="auto"/>
            <w:vAlign w:val="center"/>
          </w:tcPr>
          <w:p w14:paraId="169B0CF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Comisión de Derechos Humanos de la Ciudad de México.</w:t>
            </w:r>
          </w:p>
        </w:tc>
        <w:tc>
          <w:tcPr>
            <w:tcW w:w="945" w:type="dxa"/>
            <w:shd w:val="clear" w:color="auto" w:fill="auto"/>
            <w:vAlign w:val="center"/>
          </w:tcPr>
          <w:p w14:paraId="554D5FB5"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97.05</w:t>
            </w:r>
          </w:p>
        </w:tc>
        <w:tc>
          <w:tcPr>
            <w:tcW w:w="945" w:type="dxa"/>
            <w:shd w:val="clear" w:color="auto" w:fill="auto"/>
            <w:vAlign w:val="center"/>
          </w:tcPr>
          <w:p w14:paraId="145D85E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100.00</w:t>
            </w:r>
          </w:p>
        </w:tc>
        <w:tc>
          <w:tcPr>
            <w:tcW w:w="945" w:type="dxa"/>
            <w:shd w:val="clear" w:color="auto" w:fill="auto"/>
            <w:vAlign w:val="center"/>
          </w:tcPr>
          <w:p w14:paraId="62E614D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2.95</w:t>
            </w:r>
          </w:p>
        </w:tc>
      </w:tr>
      <w:tr w:rsidR="00067C34" w14:paraId="23CDAEF3" w14:textId="77777777">
        <w:trPr>
          <w:trHeight w:val="288"/>
        </w:trPr>
        <w:tc>
          <w:tcPr>
            <w:tcW w:w="601" w:type="dxa"/>
            <w:shd w:val="clear" w:color="auto" w:fill="auto"/>
            <w:vAlign w:val="center"/>
          </w:tcPr>
          <w:p w14:paraId="2F9643B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w:t>
            </w:r>
          </w:p>
        </w:tc>
        <w:tc>
          <w:tcPr>
            <w:tcW w:w="6052" w:type="dxa"/>
            <w:shd w:val="clear" w:color="auto" w:fill="auto"/>
            <w:vAlign w:val="center"/>
          </w:tcPr>
          <w:p w14:paraId="32B0808C"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Junta Local de Conciliación y Arbitraje de la Ciudad de México.</w:t>
            </w:r>
          </w:p>
        </w:tc>
        <w:tc>
          <w:tcPr>
            <w:tcW w:w="945" w:type="dxa"/>
            <w:shd w:val="clear" w:color="auto" w:fill="auto"/>
            <w:vAlign w:val="center"/>
          </w:tcPr>
          <w:p w14:paraId="3840561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94.97</w:t>
            </w:r>
          </w:p>
        </w:tc>
        <w:tc>
          <w:tcPr>
            <w:tcW w:w="945" w:type="dxa"/>
            <w:shd w:val="clear" w:color="auto" w:fill="auto"/>
            <w:vAlign w:val="center"/>
          </w:tcPr>
          <w:p w14:paraId="1734C63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100.00</w:t>
            </w:r>
          </w:p>
        </w:tc>
        <w:tc>
          <w:tcPr>
            <w:tcW w:w="945" w:type="dxa"/>
            <w:shd w:val="clear" w:color="auto" w:fill="auto"/>
            <w:vAlign w:val="center"/>
          </w:tcPr>
          <w:p w14:paraId="5EA6105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5.03</w:t>
            </w:r>
          </w:p>
        </w:tc>
      </w:tr>
      <w:tr w:rsidR="00067C34" w14:paraId="0613251D" w14:textId="77777777">
        <w:trPr>
          <w:trHeight w:val="288"/>
        </w:trPr>
        <w:tc>
          <w:tcPr>
            <w:tcW w:w="601" w:type="dxa"/>
            <w:shd w:val="clear" w:color="auto" w:fill="auto"/>
            <w:vAlign w:val="center"/>
          </w:tcPr>
          <w:p w14:paraId="24BD75D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w:t>
            </w:r>
          </w:p>
        </w:tc>
        <w:tc>
          <w:tcPr>
            <w:tcW w:w="6052" w:type="dxa"/>
            <w:shd w:val="clear" w:color="auto" w:fill="auto"/>
            <w:vAlign w:val="center"/>
          </w:tcPr>
          <w:p w14:paraId="135EC9F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Tribunal Electoral de la Ciudad de México.</w:t>
            </w:r>
          </w:p>
        </w:tc>
        <w:tc>
          <w:tcPr>
            <w:tcW w:w="945" w:type="dxa"/>
            <w:shd w:val="clear" w:color="auto" w:fill="auto"/>
            <w:vAlign w:val="center"/>
          </w:tcPr>
          <w:p w14:paraId="367600A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95.20</w:t>
            </w:r>
          </w:p>
        </w:tc>
        <w:tc>
          <w:tcPr>
            <w:tcW w:w="945" w:type="dxa"/>
            <w:shd w:val="clear" w:color="auto" w:fill="auto"/>
            <w:vAlign w:val="center"/>
          </w:tcPr>
          <w:p w14:paraId="680432A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99.61</w:t>
            </w:r>
          </w:p>
        </w:tc>
        <w:tc>
          <w:tcPr>
            <w:tcW w:w="945" w:type="dxa"/>
            <w:shd w:val="clear" w:color="auto" w:fill="auto"/>
            <w:vAlign w:val="center"/>
          </w:tcPr>
          <w:p w14:paraId="04171F2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4.41</w:t>
            </w:r>
          </w:p>
        </w:tc>
      </w:tr>
      <w:tr w:rsidR="00067C34" w14:paraId="135F4C63" w14:textId="77777777">
        <w:trPr>
          <w:trHeight w:val="288"/>
        </w:trPr>
        <w:tc>
          <w:tcPr>
            <w:tcW w:w="601" w:type="dxa"/>
            <w:shd w:val="clear" w:color="auto" w:fill="auto"/>
            <w:vAlign w:val="center"/>
          </w:tcPr>
          <w:p w14:paraId="27838C5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4</w:t>
            </w:r>
          </w:p>
        </w:tc>
        <w:tc>
          <w:tcPr>
            <w:tcW w:w="6052" w:type="dxa"/>
            <w:shd w:val="clear" w:color="auto" w:fill="auto"/>
            <w:vAlign w:val="center"/>
          </w:tcPr>
          <w:p w14:paraId="7CACF33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Instituto de Transparencia, Acceso a la Información Pública, Protección de Datos Personales y Rendición de Cuentas de la Ciudad de México.</w:t>
            </w:r>
          </w:p>
        </w:tc>
        <w:tc>
          <w:tcPr>
            <w:tcW w:w="945" w:type="dxa"/>
            <w:shd w:val="clear" w:color="auto" w:fill="auto"/>
            <w:vAlign w:val="center"/>
          </w:tcPr>
          <w:p w14:paraId="11FCB6D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91.43</w:t>
            </w:r>
          </w:p>
        </w:tc>
        <w:tc>
          <w:tcPr>
            <w:tcW w:w="945" w:type="dxa"/>
            <w:shd w:val="clear" w:color="auto" w:fill="auto"/>
            <w:vAlign w:val="center"/>
          </w:tcPr>
          <w:p w14:paraId="26FE3E6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93.41</w:t>
            </w:r>
          </w:p>
        </w:tc>
        <w:tc>
          <w:tcPr>
            <w:tcW w:w="945" w:type="dxa"/>
            <w:shd w:val="clear" w:color="auto" w:fill="auto"/>
            <w:vAlign w:val="center"/>
          </w:tcPr>
          <w:p w14:paraId="02ABC98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1.98</w:t>
            </w:r>
          </w:p>
        </w:tc>
      </w:tr>
      <w:tr w:rsidR="00067C34" w14:paraId="5F125DB3" w14:textId="77777777">
        <w:trPr>
          <w:trHeight w:val="288"/>
        </w:trPr>
        <w:tc>
          <w:tcPr>
            <w:tcW w:w="601" w:type="dxa"/>
            <w:shd w:val="clear" w:color="auto" w:fill="auto"/>
            <w:vAlign w:val="center"/>
          </w:tcPr>
          <w:p w14:paraId="4A022D9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w:t>
            </w:r>
          </w:p>
        </w:tc>
        <w:tc>
          <w:tcPr>
            <w:tcW w:w="6052" w:type="dxa"/>
            <w:shd w:val="clear" w:color="auto" w:fill="auto"/>
            <w:vAlign w:val="center"/>
          </w:tcPr>
          <w:p w14:paraId="509C9AA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Universidad Autónoma de la Ciudad de México.</w:t>
            </w:r>
          </w:p>
        </w:tc>
        <w:tc>
          <w:tcPr>
            <w:tcW w:w="945" w:type="dxa"/>
            <w:shd w:val="clear" w:color="auto" w:fill="auto"/>
            <w:vAlign w:val="center"/>
          </w:tcPr>
          <w:p w14:paraId="22E4EDF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2.20</w:t>
            </w:r>
          </w:p>
        </w:tc>
        <w:tc>
          <w:tcPr>
            <w:tcW w:w="945" w:type="dxa"/>
            <w:shd w:val="clear" w:color="auto" w:fill="auto"/>
            <w:vAlign w:val="center"/>
          </w:tcPr>
          <w:p w14:paraId="438A615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7.20</w:t>
            </w:r>
          </w:p>
        </w:tc>
        <w:tc>
          <w:tcPr>
            <w:tcW w:w="945" w:type="dxa"/>
            <w:shd w:val="clear" w:color="auto" w:fill="auto"/>
            <w:vAlign w:val="center"/>
          </w:tcPr>
          <w:p w14:paraId="2EC5386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5.00</w:t>
            </w:r>
          </w:p>
        </w:tc>
      </w:tr>
    </w:tbl>
    <w:p w14:paraId="5EA18D64"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76BA2EB5"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w:t>
      </w:r>
      <w:r>
        <w:rPr>
          <w:rFonts w:ascii="Arial" w:eastAsia="Arial" w:hAnsi="Arial" w:cs="Arial"/>
          <w:color w:val="000000"/>
          <w:sz w:val="16"/>
          <w:szCs w:val="16"/>
        </w:rPr>
        <w:t>eto obligado.  El IGOT se compone del promedio de ICOT-PI e ICOT-PNT.</w:t>
      </w:r>
    </w:p>
    <w:p w14:paraId="5F9EDFD8"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de Cumplimiento en las Obligaciones de Transparencia que se refiere a la información que se encuentra publicada y actualizada en el portal de Internet (PI) del sujeto obligado. </w:t>
      </w:r>
    </w:p>
    <w:p w14:paraId="6CFE58AD"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w:t>
      </w:r>
      <w:r>
        <w:rPr>
          <w:rFonts w:ascii="Arial" w:eastAsia="Arial" w:hAnsi="Arial" w:cs="Arial"/>
          <w:color w:val="000000"/>
          <w:sz w:val="16"/>
          <w:szCs w:val="16"/>
        </w:rPr>
        <w:t>que se refiere a la información que se encuentra publicada y actualizada en la Plataforma Nacional de Transparencia (PNT) del sujeto obligado.</w:t>
      </w:r>
    </w:p>
    <w:p w14:paraId="749CE4AC"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 xml:space="preserve">La Comisión de Derechos Humanos de la Ciudad de México y la Junta Local de Conciliación y Arbitraje de la Ciudad de México dieron </w:t>
      </w:r>
      <w:r>
        <w:rPr>
          <w:rFonts w:ascii="Arial" w:eastAsia="Arial" w:hAnsi="Arial" w:cs="Arial"/>
          <w:b/>
          <w:color w:val="000000"/>
        </w:rPr>
        <w:t>cumplimiento total</w:t>
      </w:r>
      <w:r>
        <w:rPr>
          <w:rFonts w:ascii="Arial" w:eastAsia="Arial" w:hAnsi="Arial" w:cs="Arial"/>
          <w:color w:val="000000"/>
        </w:rPr>
        <w:t xml:space="preserve"> a las observaciones realizadas en la Segunda Evaluación Vinculante 2020 y con ello alcanzaron el piso mínim</w:t>
      </w:r>
      <w:r>
        <w:rPr>
          <w:rFonts w:ascii="Arial" w:eastAsia="Arial" w:hAnsi="Arial" w:cs="Arial"/>
          <w:color w:val="000000"/>
        </w:rPr>
        <w:t>o que marca la Ley en cuanto a la publicación de obligaciones de transparencia.</w:t>
      </w:r>
    </w:p>
    <w:p w14:paraId="41FD9631"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Por otra parte, el Instituto de Transparencia, Acceso a la Información Pública, Protección de Datos Personales y Rendición de Cuentas de la Ciudad de México y el Tribunal Elect</w:t>
      </w:r>
      <w:r>
        <w:rPr>
          <w:rFonts w:ascii="Arial" w:eastAsia="Arial" w:hAnsi="Arial" w:cs="Arial"/>
          <w:color w:val="000000"/>
        </w:rPr>
        <w:t xml:space="preserve">oral de la Ciudad de México, atendieron algunas de las recomendaciones y observaciones realizadas en la evaluación anterior y actualmente presentan un cumplimiento parcial con un IGOT superior a los 93 puntos con un nivel de </w:t>
      </w:r>
      <w:r>
        <w:rPr>
          <w:rFonts w:ascii="Arial" w:eastAsia="Arial" w:hAnsi="Arial" w:cs="Arial"/>
          <w:b/>
          <w:color w:val="000000"/>
        </w:rPr>
        <w:t>cumplimiento parcial</w:t>
      </w:r>
      <w:r>
        <w:rPr>
          <w:rFonts w:ascii="Arial" w:eastAsia="Arial" w:hAnsi="Arial" w:cs="Arial"/>
          <w:color w:val="000000"/>
        </w:rPr>
        <w:t>.</w:t>
      </w:r>
    </w:p>
    <w:p w14:paraId="3877AB72"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La Univer</w:t>
      </w:r>
      <w:r>
        <w:rPr>
          <w:rFonts w:ascii="Arial" w:eastAsia="Arial" w:hAnsi="Arial" w:cs="Arial"/>
          <w:color w:val="000000"/>
        </w:rPr>
        <w:t xml:space="preserve">sidad Autónoma de la Ciudad de México atendió solo algunas observaciones y recomendaciones realizadas y presenta un nivel de </w:t>
      </w:r>
      <w:r>
        <w:rPr>
          <w:rFonts w:ascii="Arial" w:eastAsia="Arial" w:hAnsi="Arial" w:cs="Arial"/>
          <w:b/>
          <w:color w:val="000000"/>
        </w:rPr>
        <w:t>incumplimiento parcial</w:t>
      </w:r>
      <w:r>
        <w:rPr>
          <w:rFonts w:ascii="Arial" w:eastAsia="Arial" w:hAnsi="Arial" w:cs="Arial"/>
          <w:color w:val="000000"/>
        </w:rPr>
        <w:t>, toda vez que pasó de 2.20 a 7.20 en su IGOT.</w:t>
      </w:r>
    </w:p>
    <w:p w14:paraId="61F8FF7E" w14:textId="77777777" w:rsidR="00067C34" w:rsidRDefault="00067C34">
      <w:pPr>
        <w:spacing w:before="280" w:after="280" w:line="360" w:lineRule="auto"/>
        <w:jc w:val="both"/>
        <w:rPr>
          <w:rFonts w:ascii="Arial" w:eastAsia="Arial" w:hAnsi="Arial" w:cs="Arial"/>
          <w:highlight w:val="yellow"/>
        </w:rPr>
      </w:pPr>
    </w:p>
    <w:p w14:paraId="286E5EC4" w14:textId="77777777" w:rsidR="00067C34" w:rsidRDefault="00BA3CD1">
      <w:pPr>
        <w:spacing w:before="280" w:line="360" w:lineRule="auto"/>
        <w:jc w:val="center"/>
        <w:rPr>
          <w:rFonts w:ascii="Arial" w:eastAsia="Arial" w:hAnsi="Arial" w:cs="Arial"/>
          <w:color w:val="000000"/>
        </w:rPr>
      </w:pPr>
      <w:r>
        <w:rPr>
          <w:noProof/>
        </w:rPr>
        <w:drawing>
          <wp:inline distT="0" distB="0" distL="0" distR="0" wp14:anchorId="7E6AC433" wp14:editId="60F5CF10">
            <wp:extent cx="5486400" cy="3562350"/>
            <wp:effectExtent l="0" t="0" r="0" b="0"/>
            <wp:docPr id="1277849396" name="Gráfico 1277849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363E73" w14:textId="77777777" w:rsidR="00067C34" w:rsidRDefault="00067C34">
      <w:pPr>
        <w:spacing w:line="360" w:lineRule="auto"/>
        <w:jc w:val="both"/>
        <w:rPr>
          <w:rFonts w:ascii="Arial" w:eastAsia="Arial" w:hAnsi="Arial" w:cs="Arial"/>
        </w:rPr>
      </w:pPr>
    </w:p>
    <w:p w14:paraId="150692ED" w14:textId="77777777" w:rsidR="00067C34" w:rsidRDefault="00BA3CD1">
      <w:pPr>
        <w:spacing w:line="360" w:lineRule="auto"/>
        <w:jc w:val="both"/>
        <w:rPr>
          <w:rFonts w:ascii="Arial" w:eastAsia="Arial" w:hAnsi="Arial" w:cs="Arial"/>
          <w:highlight w:val="yellow"/>
        </w:rPr>
      </w:pPr>
      <w:r>
        <w:rPr>
          <w:rFonts w:ascii="Arial" w:eastAsia="Arial" w:hAnsi="Arial" w:cs="Arial"/>
        </w:rPr>
        <w:t>Con relación a la Segunda Evaluación Vinculante 2020, este</w:t>
      </w:r>
      <w:r>
        <w:rPr>
          <w:rFonts w:ascii="Arial" w:eastAsia="Arial" w:hAnsi="Arial" w:cs="Arial"/>
        </w:rPr>
        <w:t xml:space="preserve"> ámbito tuvo actualmente un incremento de 3.87 puntos, puesto que pasó de tener un IGOT de 76.2 a uno de 80.0; por lo que se encuentra en un cumplimiento parcial de las obligaciones de transparencia de la Ley de Transparencia local.</w:t>
      </w:r>
    </w:p>
    <w:p w14:paraId="383F5D13" w14:textId="77777777" w:rsidR="00067C34" w:rsidRDefault="00067C34">
      <w:pPr>
        <w:spacing w:line="360" w:lineRule="auto"/>
        <w:rPr>
          <w:rFonts w:ascii="Arial" w:eastAsia="Arial" w:hAnsi="Arial" w:cs="Arial"/>
          <w:color w:val="000000"/>
        </w:rPr>
      </w:pPr>
    </w:p>
    <w:p w14:paraId="71E2669C" w14:textId="77777777" w:rsidR="00067C34" w:rsidRDefault="00BA3CD1">
      <w:pPr>
        <w:spacing w:after="280" w:line="360" w:lineRule="auto"/>
        <w:jc w:val="both"/>
        <w:rPr>
          <w:rFonts w:ascii="Arial" w:eastAsia="Arial" w:hAnsi="Arial" w:cs="Arial"/>
          <w:highlight w:val="yellow"/>
        </w:rPr>
      </w:pPr>
      <w:r>
        <w:br w:type="page"/>
      </w:r>
    </w:p>
    <w:p w14:paraId="15875E2B" w14:textId="77777777" w:rsidR="00067C34" w:rsidRDefault="00BA3CD1">
      <w:pPr>
        <w:pStyle w:val="Ttulo1"/>
        <w:spacing w:before="280" w:after="280" w:line="360" w:lineRule="auto"/>
        <w:jc w:val="both"/>
        <w:rPr>
          <w:rFonts w:ascii="Arial" w:eastAsia="Arial" w:hAnsi="Arial" w:cs="Arial"/>
          <w:b/>
          <w:color w:val="000000"/>
          <w:sz w:val="24"/>
          <w:szCs w:val="24"/>
        </w:rPr>
      </w:pPr>
      <w:bookmarkStart w:id="20" w:name="_heading=h.4f1mdlm" w:colFirst="0" w:colLast="0"/>
      <w:bookmarkEnd w:id="20"/>
      <w:r>
        <w:rPr>
          <w:rFonts w:ascii="Arial" w:eastAsia="Arial" w:hAnsi="Arial" w:cs="Arial"/>
          <w:b/>
          <w:color w:val="000000"/>
          <w:sz w:val="24"/>
          <w:szCs w:val="24"/>
        </w:rPr>
        <w:t>PARTIDOS POLÍTICOS</w:t>
      </w:r>
    </w:p>
    <w:p w14:paraId="053455E4"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El ámbito de los partidos políticos está integrado por 10 sujetos obligados, de conformidad con el Padrón de sujetos obligados supeditados al cumplimiento de la Ley de Transparencia, Acceso a la Información Pública y Rendición de Cuentas de la Ciudad de Mé</w:t>
      </w:r>
      <w:r>
        <w:rPr>
          <w:rFonts w:ascii="Arial" w:eastAsia="Arial" w:hAnsi="Arial" w:cs="Arial"/>
          <w:color w:val="000000"/>
        </w:rPr>
        <w:t xml:space="preserve">xico y de la Ley de Protección de Datos Personales en Posesión de los sujetos obligados de la Ciudad de México vigente. </w:t>
      </w:r>
    </w:p>
    <w:p w14:paraId="43CFBD22"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 xml:space="preserve">Todos ellos recibieron observaciones y recomendaciones en la Segunda Evaluación Vinculante 2020. </w:t>
      </w:r>
    </w:p>
    <w:p w14:paraId="139788C3"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De los sujetos obligados evaluados, 4</w:t>
      </w:r>
      <w:r>
        <w:rPr>
          <w:rFonts w:ascii="Arial" w:eastAsia="Arial" w:hAnsi="Arial" w:cs="Arial"/>
          <w:color w:val="000000"/>
        </w:rPr>
        <w:t xml:space="preserve"> solventaron todas las observaciones y con ello dieron cumplimiento total del piso mínimo contemplado en la Ley de Transparencia local, 2 de ellos, a pesar de haber atendido algunas observaciones, aún presentan áreas de oportunidad con relación a la public</w:t>
      </w:r>
      <w:r>
        <w:rPr>
          <w:rFonts w:ascii="Arial" w:eastAsia="Arial" w:hAnsi="Arial" w:cs="Arial"/>
          <w:color w:val="000000"/>
        </w:rPr>
        <w:t>ación y actualización de la información; y 4 sujetos obligados no atendieron ninguna de las observaciones realizadas en la Segunda Evaluación Vinculante 2020: los tres partidos que perdieron el registro en 2018 y MORENA.</w:t>
      </w:r>
    </w:p>
    <w:p w14:paraId="3766584A" w14:textId="77777777" w:rsidR="00067C34" w:rsidRDefault="00BA3CD1">
      <w:pPr>
        <w:pStyle w:val="Ttulo2"/>
        <w:jc w:val="both"/>
        <w:rPr>
          <w:rFonts w:ascii="Arial" w:eastAsia="Arial" w:hAnsi="Arial" w:cs="Arial"/>
          <w:b/>
          <w:color w:val="000000"/>
          <w:sz w:val="24"/>
          <w:szCs w:val="24"/>
        </w:rPr>
      </w:pPr>
      <w:bookmarkStart w:id="21" w:name="_heading=h.2u6wntf" w:colFirst="0" w:colLast="0"/>
      <w:bookmarkEnd w:id="21"/>
      <w:r>
        <w:rPr>
          <w:rFonts w:ascii="Arial" w:eastAsia="Arial" w:hAnsi="Arial" w:cs="Arial"/>
          <w:b/>
          <w:color w:val="000000"/>
          <w:sz w:val="24"/>
          <w:szCs w:val="24"/>
        </w:rPr>
        <w:t xml:space="preserve">Análisis global de cumplimiento de </w:t>
      </w:r>
      <w:r>
        <w:rPr>
          <w:rFonts w:ascii="Arial" w:eastAsia="Arial" w:hAnsi="Arial" w:cs="Arial"/>
          <w:b/>
          <w:color w:val="000000"/>
          <w:sz w:val="24"/>
          <w:szCs w:val="24"/>
        </w:rPr>
        <w:t>los partidos políticos</w:t>
      </w:r>
    </w:p>
    <w:p w14:paraId="6C55D23E" w14:textId="77777777" w:rsidR="00067C34" w:rsidRDefault="00067C34">
      <w:pPr>
        <w:rPr>
          <w:rFonts w:ascii="Arial" w:eastAsia="Arial" w:hAnsi="Arial" w:cs="Arial"/>
        </w:rPr>
      </w:pPr>
    </w:p>
    <w:p w14:paraId="336F79AE" w14:textId="77777777" w:rsidR="00067C34" w:rsidRDefault="00BA3CD1">
      <w:pPr>
        <w:spacing w:line="360" w:lineRule="auto"/>
        <w:jc w:val="both"/>
        <w:rPr>
          <w:rFonts w:ascii="Arial" w:eastAsia="Arial" w:hAnsi="Arial" w:cs="Arial"/>
          <w:u w:val="single"/>
        </w:rPr>
      </w:pPr>
      <w:r>
        <w:rPr>
          <w:rFonts w:ascii="Arial" w:eastAsia="Arial" w:hAnsi="Arial" w:cs="Arial"/>
          <w:u w:val="single"/>
        </w:rPr>
        <w:t>Índices Globales de Cumplimiento de las obligaciones de transparencia</w:t>
      </w:r>
    </w:p>
    <w:p w14:paraId="569BC414" w14:textId="77777777" w:rsidR="00067C34" w:rsidRDefault="00067C34">
      <w:pPr>
        <w:spacing w:line="360" w:lineRule="auto"/>
        <w:jc w:val="both"/>
        <w:rPr>
          <w:rFonts w:ascii="Arial" w:eastAsia="Arial" w:hAnsi="Arial" w:cs="Arial"/>
          <w:highlight w:val="darkGreen"/>
        </w:rPr>
      </w:pPr>
    </w:p>
    <w:p w14:paraId="30BE1220" w14:textId="77777777" w:rsidR="00067C34" w:rsidRDefault="00BA3CD1">
      <w:pPr>
        <w:spacing w:after="280" w:line="360" w:lineRule="auto"/>
        <w:jc w:val="both"/>
        <w:rPr>
          <w:rFonts w:ascii="Arial" w:eastAsia="Arial" w:hAnsi="Arial" w:cs="Arial"/>
        </w:rPr>
      </w:pPr>
      <w:r>
        <w:rPr>
          <w:rFonts w:ascii="Arial" w:eastAsia="Arial" w:hAnsi="Arial" w:cs="Arial"/>
        </w:rPr>
        <w:t>El ámbito de los Partidos Políticos obtuvo en la Tercera Evaluación Vinculante 2020 un IGOT de 61.5, compuesto por un índice promedio de 62.62 en lo que correspo</w:t>
      </w:r>
      <w:r>
        <w:rPr>
          <w:rFonts w:ascii="Arial" w:eastAsia="Arial" w:hAnsi="Arial" w:cs="Arial"/>
        </w:rPr>
        <w:t>nde a la Plataforma Nacional de Transparencia (PNT) y un índice de 60.39 en lo que se refiere al Portal de Transparencia (PI).</w:t>
      </w:r>
    </w:p>
    <w:p w14:paraId="06CA2DD2"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Los sujetos obligados, así como su Índice de Cumplimiento de obligaciones de transparencia del Portal de Internet (IGOT-PI), el d</w:t>
      </w:r>
      <w:r>
        <w:rPr>
          <w:rFonts w:ascii="Arial" w:eastAsia="Arial" w:hAnsi="Arial" w:cs="Arial"/>
          <w:color w:val="000000"/>
        </w:rPr>
        <w:t xml:space="preserve">e la Plataforma Nacional de Transparencia (IGOT-PNT) y el Índice General de Cumplimiento de obligaciones de transparencia (IGOT) se presentan en la siguiente tabla, ordenados de forma descendente, respecto del IGOT: </w:t>
      </w:r>
    </w:p>
    <w:p w14:paraId="154C7CC0" w14:textId="77777777" w:rsidR="00067C34" w:rsidRDefault="00BA3CD1">
      <w:pPr>
        <w:spacing w:before="280"/>
        <w:jc w:val="both"/>
        <w:rPr>
          <w:rFonts w:ascii="Arial" w:eastAsia="Arial" w:hAnsi="Arial" w:cs="Arial"/>
          <w:b/>
        </w:rPr>
      </w:pPr>
      <w:r>
        <w:rPr>
          <w:rFonts w:ascii="Arial" w:eastAsia="Arial" w:hAnsi="Arial" w:cs="Arial"/>
          <w:b/>
        </w:rPr>
        <w:t>Comparativo de índices entre la Segunda</w:t>
      </w:r>
      <w:r>
        <w:rPr>
          <w:rFonts w:ascii="Arial" w:eastAsia="Arial" w:hAnsi="Arial" w:cs="Arial"/>
          <w:b/>
        </w:rPr>
        <w:t xml:space="preserve"> Evaluación Vinculante 2020 y la Tercera Evaluación Vinculante 2020</w:t>
      </w:r>
    </w:p>
    <w:tbl>
      <w:tblPr>
        <w:tblStyle w:val="affa"/>
        <w:tblW w:w="90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5036"/>
        <w:gridCol w:w="1093"/>
        <w:gridCol w:w="1093"/>
        <w:gridCol w:w="1093"/>
      </w:tblGrid>
      <w:tr w:rsidR="00067C34" w14:paraId="2452EEDC" w14:textId="77777777">
        <w:trPr>
          <w:trHeight w:val="477"/>
        </w:trPr>
        <w:tc>
          <w:tcPr>
            <w:tcW w:w="771" w:type="dxa"/>
            <w:shd w:val="clear" w:color="auto" w:fill="F4B084"/>
            <w:vAlign w:val="center"/>
          </w:tcPr>
          <w:p w14:paraId="325A92B7"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5036" w:type="dxa"/>
            <w:shd w:val="clear" w:color="auto" w:fill="F4B084"/>
            <w:vAlign w:val="center"/>
          </w:tcPr>
          <w:p w14:paraId="57BB3C76"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1093" w:type="dxa"/>
            <w:shd w:val="clear" w:color="auto" w:fill="F4B084"/>
            <w:vAlign w:val="center"/>
          </w:tcPr>
          <w:p w14:paraId="450B6DBB"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2da</w:t>
            </w:r>
          </w:p>
        </w:tc>
        <w:tc>
          <w:tcPr>
            <w:tcW w:w="1093" w:type="dxa"/>
            <w:shd w:val="clear" w:color="auto" w:fill="F4B084"/>
            <w:vAlign w:val="center"/>
          </w:tcPr>
          <w:p w14:paraId="627D8A3B"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1093" w:type="dxa"/>
            <w:shd w:val="clear" w:color="auto" w:fill="F4B084"/>
            <w:vAlign w:val="center"/>
          </w:tcPr>
          <w:p w14:paraId="052CD779"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6043AF95" w14:textId="77777777">
        <w:trPr>
          <w:trHeight w:val="233"/>
        </w:trPr>
        <w:tc>
          <w:tcPr>
            <w:tcW w:w="771" w:type="dxa"/>
            <w:shd w:val="clear" w:color="auto" w:fill="auto"/>
            <w:vAlign w:val="bottom"/>
          </w:tcPr>
          <w:p w14:paraId="1CA246B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w:t>
            </w:r>
          </w:p>
        </w:tc>
        <w:tc>
          <w:tcPr>
            <w:tcW w:w="5036" w:type="dxa"/>
            <w:shd w:val="clear" w:color="auto" w:fill="auto"/>
            <w:vAlign w:val="bottom"/>
          </w:tcPr>
          <w:p w14:paraId="187F975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Movimiento Ciudadano.</w:t>
            </w:r>
          </w:p>
        </w:tc>
        <w:tc>
          <w:tcPr>
            <w:tcW w:w="1093" w:type="dxa"/>
            <w:shd w:val="clear" w:color="auto" w:fill="auto"/>
            <w:vAlign w:val="bottom"/>
          </w:tcPr>
          <w:p w14:paraId="71DD118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99.24</w:t>
            </w:r>
          </w:p>
        </w:tc>
        <w:tc>
          <w:tcPr>
            <w:tcW w:w="1093" w:type="dxa"/>
            <w:shd w:val="clear" w:color="auto" w:fill="auto"/>
            <w:vAlign w:val="bottom"/>
          </w:tcPr>
          <w:p w14:paraId="48F5979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100.00</w:t>
            </w:r>
          </w:p>
        </w:tc>
        <w:tc>
          <w:tcPr>
            <w:tcW w:w="1093" w:type="dxa"/>
            <w:shd w:val="clear" w:color="auto" w:fill="auto"/>
            <w:vAlign w:val="bottom"/>
          </w:tcPr>
          <w:p w14:paraId="10C492E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0.76</w:t>
            </w:r>
          </w:p>
        </w:tc>
      </w:tr>
      <w:tr w:rsidR="00067C34" w14:paraId="235DE304" w14:textId="77777777">
        <w:trPr>
          <w:trHeight w:val="233"/>
        </w:trPr>
        <w:tc>
          <w:tcPr>
            <w:tcW w:w="771" w:type="dxa"/>
            <w:shd w:val="clear" w:color="auto" w:fill="auto"/>
            <w:vAlign w:val="bottom"/>
          </w:tcPr>
          <w:p w14:paraId="1FB3CBE9"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2</w:t>
            </w:r>
          </w:p>
        </w:tc>
        <w:tc>
          <w:tcPr>
            <w:tcW w:w="5036" w:type="dxa"/>
            <w:shd w:val="clear" w:color="auto" w:fill="auto"/>
            <w:vAlign w:val="bottom"/>
          </w:tcPr>
          <w:p w14:paraId="4FA268E2"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 del Trabajo.</w:t>
            </w:r>
          </w:p>
        </w:tc>
        <w:tc>
          <w:tcPr>
            <w:tcW w:w="1093" w:type="dxa"/>
            <w:shd w:val="clear" w:color="auto" w:fill="auto"/>
            <w:vAlign w:val="bottom"/>
          </w:tcPr>
          <w:p w14:paraId="249E8BA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95.00</w:t>
            </w:r>
          </w:p>
        </w:tc>
        <w:tc>
          <w:tcPr>
            <w:tcW w:w="1093" w:type="dxa"/>
            <w:shd w:val="clear" w:color="auto" w:fill="auto"/>
            <w:vAlign w:val="bottom"/>
          </w:tcPr>
          <w:p w14:paraId="715F7E0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100.00</w:t>
            </w:r>
          </w:p>
        </w:tc>
        <w:tc>
          <w:tcPr>
            <w:tcW w:w="1093" w:type="dxa"/>
            <w:shd w:val="clear" w:color="auto" w:fill="auto"/>
            <w:vAlign w:val="bottom"/>
          </w:tcPr>
          <w:p w14:paraId="7773750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5.00</w:t>
            </w:r>
          </w:p>
        </w:tc>
      </w:tr>
      <w:tr w:rsidR="00067C34" w14:paraId="66064251" w14:textId="77777777">
        <w:trPr>
          <w:trHeight w:val="233"/>
        </w:trPr>
        <w:tc>
          <w:tcPr>
            <w:tcW w:w="771" w:type="dxa"/>
            <w:shd w:val="clear" w:color="auto" w:fill="auto"/>
            <w:vAlign w:val="bottom"/>
          </w:tcPr>
          <w:p w14:paraId="63DAD6F5"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3</w:t>
            </w:r>
          </w:p>
        </w:tc>
        <w:tc>
          <w:tcPr>
            <w:tcW w:w="5036" w:type="dxa"/>
            <w:shd w:val="clear" w:color="auto" w:fill="auto"/>
            <w:vAlign w:val="bottom"/>
          </w:tcPr>
          <w:p w14:paraId="5D75724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 Revolucionario Institucional.</w:t>
            </w:r>
          </w:p>
        </w:tc>
        <w:tc>
          <w:tcPr>
            <w:tcW w:w="1093" w:type="dxa"/>
            <w:shd w:val="clear" w:color="auto" w:fill="auto"/>
            <w:vAlign w:val="bottom"/>
          </w:tcPr>
          <w:p w14:paraId="7DAE28F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84.98</w:t>
            </w:r>
          </w:p>
        </w:tc>
        <w:tc>
          <w:tcPr>
            <w:tcW w:w="1093" w:type="dxa"/>
            <w:shd w:val="clear" w:color="auto" w:fill="auto"/>
            <w:vAlign w:val="bottom"/>
          </w:tcPr>
          <w:p w14:paraId="1D6692C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100.00</w:t>
            </w:r>
          </w:p>
        </w:tc>
        <w:tc>
          <w:tcPr>
            <w:tcW w:w="1093" w:type="dxa"/>
            <w:shd w:val="clear" w:color="auto" w:fill="auto"/>
            <w:vAlign w:val="bottom"/>
          </w:tcPr>
          <w:p w14:paraId="0318B5E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15.02</w:t>
            </w:r>
          </w:p>
        </w:tc>
      </w:tr>
      <w:tr w:rsidR="00067C34" w14:paraId="3ABB9D56" w14:textId="77777777">
        <w:trPr>
          <w:trHeight w:val="233"/>
        </w:trPr>
        <w:tc>
          <w:tcPr>
            <w:tcW w:w="771" w:type="dxa"/>
            <w:shd w:val="clear" w:color="auto" w:fill="auto"/>
            <w:vAlign w:val="bottom"/>
          </w:tcPr>
          <w:p w14:paraId="192B058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4</w:t>
            </w:r>
          </w:p>
        </w:tc>
        <w:tc>
          <w:tcPr>
            <w:tcW w:w="5036" w:type="dxa"/>
            <w:shd w:val="clear" w:color="auto" w:fill="auto"/>
            <w:vAlign w:val="bottom"/>
          </w:tcPr>
          <w:p w14:paraId="227EFBC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 Verde Ecologista de México.</w:t>
            </w:r>
          </w:p>
        </w:tc>
        <w:tc>
          <w:tcPr>
            <w:tcW w:w="1093" w:type="dxa"/>
            <w:shd w:val="clear" w:color="auto" w:fill="auto"/>
            <w:vAlign w:val="bottom"/>
          </w:tcPr>
          <w:p w14:paraId="7C8EF4C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98.13</w:t>
            </w:r>
          </w:p>
        </w:tc>
        <w:tc>
          <w:tcPr>
            <w:tcW w:w="1093" w:type="dxa"/>
            <w:shd w:val="clear" w:color="auto" w:fill="auto"/>
            <w:vAlign w:val="bottom"/>
          </w:tcPr>
          <w:p w14:paraId="1351B2E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100.00</w:t>
            </w:r>
          </w:p>
        </w:tc>
        <w:tc>
          <w:tcPr>
            <w:tcW w:w="1093" w:type="dxa"/>
            <w:shd w:val="clear" w:color="auto" w:fill="auto"/>
            <w:vAlign w:val="bottom"/>
          </w:tcPr>
          <w:p w14:paraId="40488FA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1.87</w:t>
            </w:r>
          </w:p>
        </w:tc>
      </w:tr>
      <w:tr w:rsidR="00067C34" w14:paraId="62F3A044" w14:textId="77777777">
        <w:trPr>
          <w:trHeight w:val="233"/>
        </w:trPr>
        <w:tc>
          <w:tcPr>
            <w:tcW w:w="771" w:type="dxa"/>
            <w:shd w:val="clear" w:color="auto" w:fill="auto"/>
            <w:vAlign w:val="bottom"/>
          </w:tcPr>
          <w:p w14:paraId="4A8FB167"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5</w:t>
            </w:r>
          </w:p>
        </w:tc>
        <w:tc>
          <w:tcPr>
            <w:tcW w:w="5036" w:type="dxa"/>
            <w:shd w:val="clear" w:color="auto" w:fill="auto"/>
            <w:vAlign w:val="bottom"/>
          </w:tcPr>
          <w:p w14:paraId="05958900"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 Acción Nacional.</w:t>
            </w:r>
          </w:p>
        </w:tc>
        <w:tc>
          <w:tcPr>
            <w:tcW w:w="1093" w:type="dxa"/>
            <w:shd w:val="clear" w:color="auto" w:fill="auto"/>
            <w:vAlign w:val="bottom"/>
          </w:tcPr>
          <w:p w14:paraId="54B56A8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57.32</w:t>
            </w:r>
          </w:p>
        </w:tc>
        <w:tc>
          <w:tcPr>
            <w:tcW w:w="1093" w:type="dxa"/>
            <w:shd w:val="clear" w:color="auto" w:fill="auto"/>
            <w:vAlign w:val="bottom"/>
          </w:tcPr>
          <w:p w14:paraId="4EC50A0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96.75</w:t>
            </w:r>
          </w:p>
        </w:tc>
        <w:tc>
          <w:tcPr>
            <w:tcW w:w="1093" w:type="dxa"/>
            <w:shd w:val="clear" w:color="auto" w:fill="auto"/>
            <w:vAlign w:val="bottom"/>
          </w:tcPr>
          <w:p w14:paraId="781F46F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39.43</w:t>
            </w:r>
          </w:p>
        </w:tc>
      </w:tr>
      <w:tr w:rsidR="00067C34" w14:paraId="001A8DA3" w14:textId="77777777">
        <w:trPr>
          <w:trHeight w:val="233"/>
        </w:trPr>
        <w:tc>
          <w:tcPr>
            <w:tcW w:w="771" w:type="dxa"/>
            <w:shd w:val="clear" w:color="auto" w:fill="auto"/>
            <w:vAlign w:val="bottom"/>
          </w:tcPr>
          <w:p w14:paraId="375845D1"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6</w:t>
            </w:r>
          </w:p>
        </w:tc>
        <w:tc>
          <w:tcPr>
            <w:tcW w:w="5036" w:type="dxa"/>
            <w:shd w:val="clear" w:color="auto" w:fill="auto"/>
            <w:vAlign w:val="bottom"/>
          </w:tcPr>
          <w:p w14:paraId="507B3918"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 de la Revolución Democrática.</w:t>
            </w:r>
          </w:p>
        </w:tc>
        <w:tc>
          <w:tcPr>
            <w:tcW w:w="1093" w:type="dxa"/>
            <w:shd w:val="clear" w:color="auto" w:fill="auto"/>
            <w:vAlign w:val="bottom"/>
          </w:tcPr>
          <w:p w14:paraId="224A233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74.42</w:t>
            </w:r>
          </w:p>
        </w:tc>
        <w:tc>
          <w:tcPr>
            <w:tcW w:w="1093" w:type="dxa"/>
            <w:shd w:val="clear" w:color="auto" w:fill="auto"/>
            <w:vAlign w:val="bottom"/>
          </w:tcPr>
          <w:p w14:paraId="1135B22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83.17</w:t>
            </w:r>
          </w:p>
        </w:tc>
        <w:tc>
          <w:tcPr>
            <w:tcW w:w="1093" w:type="dxa"/>
            <w:shd w:val="clear" w:color="auto" w:fill="auto"/>
            <w:vAlign w:val="bottom"/>
          </w:tcPr>
          <w:p w14:paraId="53FF317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8.75</w:t>
            </w:r>
          </w:p>
        </w:tc>
      </w:tr>
      <w:tr w:rsidR="00067C34" w14:paraId="7D63E747" w14:textId="77777777">
        <w:trPr>
          <w:trHeight w:val="233"/>
        </w:trPr>
        <w:tc>
          <w:tcPr>
            <w:tcW w:w="771" w:type="dxa"/>
            <w:shd w:val="clear" w:color="auto" w:fill="auto"/>
            <w:vAlign w:val="bottom"/>
          </w:tcPr>
          <w:p w14:paraId="15B8580C"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7</w:t>
            </w:r>
          </w:p>
        </w:tc>
        <w:tc>
          <w:tcPr>
            <w:tcW w:w="5036" w:type="dxa"/>
            <w:shd w:val="clear" w:color="auto" w:fill="auto"/>
            <w:vAlign w:val="bottom"/>
          </w:tcPr>
          <w:p w14:paraId="5C166FD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MORENA.</w:t>
            </w:r>
          </w:p>
        </w:tc>
        <w:tc>
          <w:tcPr>
            <w:tcW w:w="1093" w:type="dxa"/>
            <w:shd w:val="clear" w:color="auto" w:fill="auto"/>
            <w:vAlign w:val="bottom"/>
          </w:tcPr>
          <w:p w14:paraId="63CC9A9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35.13</w:t>
            </w:r>
          </w:p>
        </w:tc>
        <w:tc>
          <w:tcPr>
            <w:tcW w:w="1093" w:type="dxa"/>
            <w:shd w:val="clear" w:color="auto" w:fill="auto"/>
            <w:vAlign w:val="bottom"/>
          </w:tcPr>
          <w:p w14:paraId="3B548ED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35.13</w:t>
            </w:r>
          </w:p>
        </w:tc>
        <w:tc>
          <w:tcPr>
            <w:tcW w:w="1093" w:type="dxa"/>
            <w:shd w:val="clear" w:color="auto" w:fill="auto"/>
            <w:vAlign w:val="bottom"/>
          </w:tcPr>
          <w:p w14:paraId="35F7C59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7BA238EE" w14:textId="77777777">
        <w:trPr>
          <w:trHeight w:val="233"/>
        </w:trPr>
        <w:tc>
          <w:tcPr>
            <w:tcW w:w="771" w:type="dxa"/>
            <w:shd w:val="clear" w:color="auto" w:fill="auto"/>
            <w:vAlign w:val="bottom"/>
          </w:tcPr>
          <w:p w14:paraId="7CAC7C2F"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8</w:t>
            </w:r>
          </w:p>
        </w:tc>
        <w:tc>
          <w:tcPr>
            <w:tcW w:w="5036" w:type="dxa"/>
            <w:shd w:val="clear" w:color="auto" w:fill="auto"/>
            <w:vAlign w:val="bottom"/>
          </w:tcPr>
          <w:p w14:paraId="00251EC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Encuentro Social.</w:t>
            </w:r>
          </w:p>
        </w:tc>
        <w:tc>
          <w:tcPr>
            <w:tcW w:w="1093" w:type="dxa"/>
            <w:shd w:val="clear" w:color="auto" w:fill="auto"/>
            <w:vAlign w:val="bottom"/>
          </w:tcPr>
          <w:p w14:paraId="2B1A439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1093" w:type="dxa"/>
            <w:shd w:val="clear" w:color="auto" w:fill="auto"/>
            <w:vAlign w:val="bottom"/>
          </w:tcPr>
          <w:p w14:paraId="29A07B8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1093" w:type="dxa"/>
            <w:shd w:val="clear" w:color="auto" w:fill="auto"/>
            <w:vAlign w:val="bottom"/>
          </w:tcPr>
          <w:p w14:paraId="0CB0F48B"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7A6755A6" w14:textId="77777777">
        <w:trPr>
          <w:trHeight w:val="233"/>
        </w:trPr>
        <w:tc>
          <w:tcPr>
            <w:tcW w:w="771" w:type="dxa"/>
            <w:shd w:val="clear" w:color="auto" w:fill="auto"/>
            <w:vAlign w:val="bottom"/>
          </w:tcPr>
          <w:p w14:paraId="196F0AC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9</w:t>
            </w:r>
          </w:p>
        </w:tc>
        <w:tc>
          <w:tcPr>
            <w:tcW w:w="5036" w:type="dxa"/>
            <w:shd w:val="clear" w:color="auto" w:fill="auto"/>
            <w:vAlign w:val="bottom"/>
          </w:tcPr>
          <w:p w14:paraId="53FC778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Nueva Alianza.</w:t>
            </w:r>
          </w:p>
        </w:tc>
        <w:tc>
          <w:tcPr>
            <w:tcW w:w="1093" w:type="dxa"/>
            <w:shd w:val="clear" w:color="auto" w:fill="auto"/>
            <w:vAlign w:val="bottom"/>
          </w:tcPr>
          <w:p w14:paraId="1782B26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1093" w:type="dxa"/>
            <w:shd w:val="clear" w:color="auto" w:fill="auto"/>
            <w:vAlign w:val="bottom"/>
          </w:tcPr>
          <w:p w14:paraId="0C0358B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1093" w:type="dxa"/>
            <w:shd w:val="clear" w:color="auto" w:fill="auto"/>
            <w:vAlign w:val="bottom"/>
          </w:tcPr>
          <w:p w14:paraId="776F0D8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3375F578" w14:textId="77777777">
        <w:trPr>
          <w:trHeight w:val="233"/>
        </w:trPr>
        <w:tc>
          <w:tcPr>
            <w:tcW w:w="771" w:type="dxa"/>
            <w:shd w:val="clear" w:color="auto" w:fill="auto"/>
            <w:vAlign w:val="bottom"/>
          </w:tcPr>
          <w:p w14:paraId="694DBE82" w14:textId="77777777" w:rsidR="00067C34" w:rsidRDefault="00BA3CD1">
            <w:pPr>
              <w:jc w:val="right"/>
              <w:rPr>
                <w:rFonts w:ascii="Arial" w:eastAsia="Arial" w:hAnsi="Arial" w:cs="Arial"/>
                <w:color w:val="000000"/>
                <w:sz w:val="20"/>
                <w:szCs w:val="20"/>
              </w:rPr>
            </w:pPr>
            <w:r>
              <w:rPr>
                <w:rFonts w:ascii="Arial" w:eastAsia="Arial" w:hAnsi="Arial" w:cs="Arial"/>
                <w:color w:val="000000"/>
                <w:sz w:val="20"/>
                <w:szCs w:val="20"/>
              </w:rPr>
              <w:t>10</w:t>
            </w:r>
          </w:p>
        </w:tc>
        <w:tc>
          <w:tcPr>
            <w:tcW w:w="5036" w:type="dxa"/>
            <w:shd w:val="clear" w:color="auto" w:fill="auto"/>
            <w:vAlign w:val="bottom"/>
          </w:tcPr>
          <w:p w14:paraId="66926F2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Partido Humanista.</w:t>
            </w:r>
          </w:p>
        </w:tc>
        <w:tc>
          <w:tcPr>
            <w:tcW w:w="1093" w:type="dxa"/>
            <w:shd w:val="clear" w:color="auto" w:fill="auto"/>
            <w:vAlign w:val="bottom"/>
          </w:tcPr>
          <w:p w14:paraId="1ABECA3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1093" w:type="dxa"/>
            <w:shd w:val="clear" w:color="auto" w:fill="auto"/>
            <w:vAlign w:val="bottom"/>
          </w:tcPr>
          <w:p w14:paraId="245F74E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1093" w:type="dxa"/>
            <w:shd w:val="clear" w:color="auto" w:fill="auto"/>
            <w:vAlign w:val="bottom"/>
          </w:tcPr>
          <w:p w14:paraId="7D154145"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bl>
    <w:p w14:paraId="4F56CABE"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4FACC62C"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323B5615"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29624423"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refiere a la información que se encuentra publicada y actualizada en la Plataforma Nacional de Transparencia (PNT) del sujeto obligado.</w:t>
      </w:r>
    </w:p>
    <w:p w14:paraId="39DCCAC2" w14:textId="77777777" w:rsidR="00067C34" w:rsidRDefault="00BA3CD1">
      <w:pPr>
        <w:spacing w:before="280" w:after="280" w:line="360" w:lineRule="auto"/>
        <w:jc w:val="both"/>
      </w:pPr>
      <w:r>
        <w:rPr>
          <w:rFonts w:ascii="Arial" w:eastAsia="Arial" w:hAnsi="Arial" w:cs="Arial"/>
        </w:rPr>
        <w:t>Del total de sujetos obligados evaluados, Movimiento</w:t>
      </w:r>
      <w:r>
        <w:rPr>
          <w:rFonts w:ascii="Arial" w:eastAsia="Arial" w:hAnsi="Arial" w:cs="Arial"/>
        </w:rPr>
        <w:t xml:space="preserve"> Ciudadano, Partido del Trabajo, Partido Revolucionario Institucional y Partido Verde Ecologista de México atendieron todas las observaciones y recomendaciones realizadas en la Segunda Evaluación Vinculante 2020 y lograron dar </w:t>
      </w:r>
      <w:r>
        <w:rPr>
          <w:rFonts w:ascii="Arial" w:eastAsia="Arial" w:hAnsi="Arial" w:cs="Arial"/>
          <w:b/>
        </w:rPr>
        <w:t>cumplimiento total</w:t>
      </w:r>
      <w:r>
        <w:rPr>
          <w:rFonts w:ascii="Arial" w:eastAsia="Arial" w:hAnsi="Arial" w:cs="Arial"/>
        </w:rPr>
        <w:t xml:space="preserve"> a las obli</w:t>
      </w:r>
      <w:r>
        <w:rPr>
          <w:rFonts w:ascii="Arial" w:eastAsia="Arial" w:hAnsi="Arial" w:cs="Arial"/>
        </w:rPr>
        <w:t>gaciones de transparencia.</w:t>
      </w:r>
    </w:p>
    <w:p w14:paraId="665B385C" w14:textId="77777777" w:rsidR="00067C34" w:rsidRDefault="00BA3CD1">
      <w:pPr>
        <w:spacing w:before="280" w:after="280" w:line="360" w:lineRule="auto"/>
        <w:jc w:val="both"/>
      </w:pPr>
      <w:r>
        <w:rPr>
          <w:rFonts w:ascii="Arial" w:eastAsia="Arial" w:hAnsi="Arial" w:cs="Arial"/>
        </w:rPr>
        <w:t>Po otra parte, el Partido Acción Nacional y el Partido de la Revolución Democrática atendieron algunas de las observaciones y recomendaciones derivadas de la Segunda Evaluación 2020 y mejoraron su nivel de cumplimiento: el PAN ob</w:t>
      </w:r>
      <w:r>
        <w:rPr>
          <w:rFonts w:ascii="Arial" w:eastAsia="Arial" w:hAnsi="Arial" w:cs="Arial"/>
        </w:rPr>
        <w:t>tuvo un IGOT de 96.75 y el PRD de 83.17, por lo que ambos lograron un nivel de cumplimiento parcial respecto a las obligaciones de transparencia.</w:t>
      </w:r>
    </w:p>
    <w:p w14:paraId="548E10FD" w14:textId="77777777" w:rsidR="00067C34" w:rsidRDefault="00BA3CD1">
      <w:pPr>
        <w:spacing w:before="280" w:after="280" w:line="360" w:lineRule="auto"/>
        <w:jc w:val="both"/>
      </w:pPr>
      <w:r>
        <w:rPr>
          <w:rFonts w:ascii="Arial" w:eastAsia="Arial" w:hAnsi="Arial" w:cs="Arial"/>
        </w:rPr>
        <w:t xml:space="preserve">Mención aparte merece el caso de MORENA en la Ciudad de México ya que no atendió ninguna de las observaciones </w:t>
      </w:r>
      <w:r>
        <w:rPr>
          <w:rFonts w:ascii="Arial" w:eastAsia="Arial" w:hAnsi="Arial" w:cs="Arial"/>
        </w:rPr>
        <w:t xml:space="preserve">ni recomendaciones realizadas en la Segunda Evaluación Vinculante 2020, por lo que, en la Tercera Evaluación se mantiene en un nivel </w:t>
      </w:r>
      <w:r>
        <w:rPr>
          <w:rFonts w:ascii="Arial" w:eastAsia="Arial" w:hAnsi="Arial" w:cs="Arial"/>
          <w:b/>
        </w:rPr>
        <w:t>incumplimiento parcial</w:t>
      </w:r>
      <w:r>
        <w:rPr>
          <w:rFonts w:ascii="Arial" w:eastAsia="Arial" w:hAnsi="Arial" w:cs="Arial"/>
        </w:rPr>
        <w:t xml:space="preserve"> en la publicación de sus obligaciones de Transparencia. </w:t>
      </w:r>
    </w:p>
    <w:p w14:paraId="692EA581" w14:textId="77777777" w:rsidR="00067C34" w:rsidRDefault="00BA3CD1">
      <w:pPr>
        <w:spacing w:before="280" w:after="280" w:line="360" w:lineRule="auto"/>
        <w:jc w:val="both"/>
      </w:pPr>
      <w:r>
        <w:rPr>
          <w:rFonts w:ascii="Arial" w:eastAsia="Arial" w:hAnsi="Arial" w:cs="Arial"/>
        </w:rPr>
        <w:t>No obstante lo anterior, cuando se verificó</w:t>
      </w:r>
      <w:r>
        <w:rPr>
          <w:rFonts w:ascii="Arial" w:eastAsia="Arial" w:hAnsi="Arial" w:cs="Arial"/>
        </w:rPr>
        <w:t xml:space="preserve"> la atención a las recomendaciones y observaciones en la página </w:t>
      </w:r>
      <w:hyperlink r:id="rId19">
        <w:r>
          <w:rPr>
            <w:rFonts w:ascii="Arial" w:eastAsia="Arial" w:hAnsi="Arial" w:cs="Arial"/>
            <w:color w:val="0563C1"/>
            <w:u w:val="single"/>
          </w:rPr>
          <w:t>http://morenaciudaddemexico.mx/transparencia/</w:t>
        </w:r>
      </w:hyperlink>
      <w:r>
        <w:rPr>
          <w:rFonts w:ascii="Arial" w:eastAsia="Arial" w:hAnsi="Arial" w:cs="Arial"/>
        </w:rPr>
        <w:t>, se pudo constatar dicha página ya no existe por lo que no se pudo validar la pub</w:t>
      </w:r>
      <w:r>
        <w:rPr>
          <w:rFonts w:ascii="Arial" w:eastAsia="Arial" w:hAnsi="Arial" w:cs="Arial"/>
        </w:rPr>
        <w:t xml:space="preserve">licación de las obligaciones de transparencia por lo que se agravia a las personas que quieren ejercer su derecho a saber en este instituto político de la Ciudad de México. </w:t>
      </w:r>
    </w:p>
    <w:p w14:paraId="3D903FC6" w14:textId="77777777" w:rsidR="00067C34" w:rsidRDefault="00BA3CD1">
      <w:pPr>
        <w:spacing w:before="280" w:after="280" w:line="360" w:lineRule="auto"/>
        <w:jc w:val="both"/>
      </w:pPr>
      <w:r>
        <w:rPr>
          <w:rFonts w:ascii="Arial" w:eastAsia="Arial" w:hAnsi="Arial" w:cs="Arial"/>
        </w:rPr>
        <w:t>Por último, los partidos políticos Encuentro Social, Nueva Alianza y Partido Human</w:t>
      </w:r>
      <w:r>
        <w:rPr>
          <w:rFonts w:ascii="Arial" w:eastAsia="Arial" w:hAnsi="Arial" w:cs="Arial"/>
        </w:rPr>
        <w:t>ista que perdieron el registro en 2018, mantienen un IGOT de 0.</w:t>
      </w:r>
    </w:p>
    <w:p w14:paraId="61EB56B6" w14:textId="77777777" w:rsidR="00067C34" w:rsidRDefault="00BA3CD1">
      <w:pPr>
        <w:spacing w:before="280" w:after="280" w:line="360" w:lineRule="auto"/>
        <w:jc w:val="center"/>
      </w:pPr>
      <w:r>
        <w:rPr>
          <w:rFonts w:ascii="Arial" w:eastAsia="Arial" w:hAnsi="Arial" w:cs="Arial"/>
          <w:noProof/>
        </w:rPr>
        <w:drawing>
          <wp:inline distT="0" distB="0" distL="0" distR="0" wp14:anchorId="51158070" wp14:editId="40ED2A8B">
            <wp:extent cx="5591176" cy="3800475"/>
            <wp:effectExtent l="0" t="0" r="0" b="0"/>
            <wp:docPr id="12778494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591176" cy="3800475"/>
                    </a:xfrm>
                    <a:prstGeom prst="rect">
                      <a:avLst/>
                    </a:prstGeom>
                    <a:ln/>
                  </pic:spPr>
                </pic:pic>
              </a:graphicData>
            </a:graphic>
          </wp:inline>
        </w:drawing>
      </w:r>
    </w:p>
    <w:p w14:paraId="1C6A5E69" w14:textId="77777777" w:rsidR="00067C34" w:rsidRDefault="00BA3CD1">
      <w:pPr>
        <w:spacing w:before="280" w:after="280" w:line="360" w:lineRule="auto"/>
        <w:jc w:val="both"/>
      </w:pPr>
      <w:r>
        <w:rPr>
          <w:rFonts w:ascii="Arial" w:eastAsia="Arial" w:hAnsi="Arial" w:cs="Arial"/>
        </w:rPr>
        <w:t>Con relación a la Segunda Evaluación Vinculante 2020, este ámbito tuvo un incremento sustantivo, puesto que pasó de tener un IGOT promedio de 54.4 a uno de 61.5; por lo que se encuentra en u</w:t>
      </w:r>
      <w:r>
        <w:rPr>
          <w:rFonts w:ascii="Arial" w:eastAsia="Arial" w:hAnsi="Arial" w:cs="Arial"/>
        </w:rPr>
        <w:t xml:space="preserve">n cumplimiento parcial de las obligaciones de transparencia de la Ley de Transparencia local. Este incremento fue de 7.08 puntos dentro de su índice. </w:t>
      </w:r>
      <w:r>
        <w:br w:type="page"/>
      </w:r>
    </w:p>
    <w:p w14:paraId="37B490E7" w14:textId="77777777" w:rsidR="00067C34" w:rsidRDefault="00BA3CD1">
      <w:pPr>
        <w:pStyle w:val="Ttulo1"/>
        <w:rPr>
          <w:rFonts w:ascii="Arial" w:eastAsia="Arial" w:hAnsi="Arial" w:cs="Arial"/>
          <w:b/>
          <w:color w:val="000000"/>
          <w:sz w:val="24"/>
          <w:szCs w:val="24"/>
        </w:rPr>
      </w:pPr>
      <w:bookmarkStart w:id="22" w:name="_heading=h.19c6y18" w:colFirst="0" w:colLast="0"/>
      <w:bookmarkEnd w:id="22"/>
      <w:r>
        <w:rPr>
          <w:rFonts w:ascii="Arial" w:eastAsia="Arial" w:hAnsi="Arial" w:cs="Arial"/>
          <w:b/>
          <w:color w:val="000000"/>
          <w:sz w:val="24"/>
          <w:szCs w:val="24"/>
        </w:rPr>
        <w:t xml:space="preserve">SINDICATOS </w:t>
      </w:r>
    </w:p>
    <w:p w14:paraId="2527AE95"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El ámbito de Sindicatos está integrado por 21 sujetos obligados, de conformidad con el Padrón de sujetos obligados supeditados al cumplimiento de la Ley de Transparencia, Acceso a la Información Pública y Rendición de Cuentas de la Ciudad de México y de la</w:t>
      </w:r>
      <w:r>
        <w:rPr>
          <w:rFonts w:ascii="Arial" w:eastAsia="Arial" w:hAnsi="Arial" w:cs="Arial"/>
          <w:color w:val="000000"/>
        </w:rPr>
        <w:t xml:space="preserve"> Ley de Protección de Datos Personales en Posesión de los sujetos obligados de la Ciudad de México vigente.</w:t>
      </w:r>
    </w:p>
    <w:p w14:paraId="7E615A99"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Todos ellos recibieron observaciones y recomendaciones en la Segunda Evaluación Vinculante 2020, sin embargo, ninguno de ellos logró dar cumplimient</w:t>
      </w:r>
      <w:r>
        <w:rPr>
          <w:rFonts w:ascii="Arial" w:eastAsia="Arial" w:hAnsi="Arial" w:cs="Arial"/>
          <w:color w:val="000000"/>
        </w:rPr>
        <w:t xml:space="preserve">o total </w:t>
      </w:r>
      <w:r>
        <w:rPr>
          <w:rFonts w:ascii="Arial" w:eastAsia="Arial" w:hAnsi="Arial" w:cs="Arial"/>
        </w:rPr>
        <w:t>a</w:t>
      </w:r>
      <w:r>
        <w:rPr>
          <w:rFonts w:ascii="Arial" w:eastAsia="Arial" w:hAnsi="Arial" w:cs="Arial"/>
          <w:color w:val="000000"/>
        </w:rPr>
        <w:t>l piso mínimo contemplado en la Ley de Transparencia local.</w:t>
      </w:r>
    </w:p>
    <w:p w14:paraId="77DDA2EE"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Por otra parte, 8 sindicatos a pesar de haber atendido algunas recomendaciones, sigue presentando áreas de oportunidad con relación a la publicación y actualización de la información. Fin</w:t>
      </w:r>
      <w:r>
        <w:rPr>
          <w:rFonts w:ascii="Arial" w:eastAsia="Arial" w:hAnsi="Arial" w:cs="Arial"/>
          <w:color w:val="000000"/>
        </w:rPr>
        <w:t>almente 13 de los 21 sindicatos verificados no atendieron a las observaciones realizadas en la Segunda Evaluación Vinculante 2020.</w:t>
      </w:r>
    </w:p>
    <w:p w14:paraId="0CC06E57" w14:textId="77777777" w:rsidR="00067C34" w:rsidRDefault="00BA3CD1">
      <w:pPr>
        <w:pStyle w:val="Ttulo2"/>
        <w:jc w:val="both"/>
        <w:rPr>
          <w:rFonts w:ascii="Arial" w:eastAsia="Arial" w:hAnsi="Arial" w:cs="Arial"/>
          <w:b/>
          <w:color w:val="000000"/>
          <w:sz w:val="24"/>
          <w:szCs w:val="24"/>
        </w:rPr>
      </w:pPr>
      <w:bookmarkStart w:id="23" w:name="_heading=h.3tbugp1" w:colFirst="0" w:colLast="0"/>
      <w:bookmarkEnd w:id="23"/>
      <w:r>
        <w:rPr>
          <w:rFonts w:ascii="Arial" w:eastAsia="Arial" w:hAnsi="Arial" w:cs="Arial"/>
          <w:b/>
          <w:color w:val="000000"/>
          <w:sz w:val="24"/>
          <w:szCs w:val="24"/>
        </w:rPr>
        <w:t>Análisis global de cumplimiento de los sindicatos</w:t>
      </w:r>
    </w:p>
    <w:p w14:paraId="4D55A60B" w14:textId="77777777" w:rsidR="00067C34" w:rsidRDefault="00BA3CD1">
      <w:pPr>
        <w:spacing w:before="280" w:after="280" w:line="360" w:lineRule="auto"/>
        <w:jc w:val="both"/>
        <w:rPr>
          <w:rFonts w:ascii="Arial" w:eastAsia="Arial" w:hAnsi="Arial" w:cs="Arial"/>
          <w:u w:val="single"/>
        </w:rPr>
      </w:pPr>
      <w:r>
        <w:rPr>
          <w:rFonts w:ascii="Arial" w:eastAsia="Arial" w:hAnsi="Arial" w:cs="Arial"/>
          <w:u w:val="single"/>
        </w:rPr>
        <w:t>Índices Globales de Cumplimiento de las obligaciones de transparencia</w:t>
      </w:r>
    </w:p>
    <w:p w14:paraId="69CFD4CD" w14:textId="77777777" w:rsidR="00067C34" w:rsidRDefault="00BA3CD1">
      <w:pPr>
        <w:spacing w:before="280" w:after="280" w:line="360" w:lineRule="auto"/>
        <w:jc w:val="both"/>
        <w:rPr>
          <w:rFonts w:ascii="Arial" w:eastAsia="Arial" w:hAnsi="Arial" w:cs="Arial"/>
        </w:rPr>
      </w:pPr>
      <w:r>
        <w:rPr>
          <w:rFonts w:ascii="Arial" w:eastAsia="Arial" w:hAnsi="Arial" w:cs="Arial"/>
        </w:rPr>
        <w:t>El ám</w:t>
      </w:r>
      <w:r>
        <w:rPr>
          <w:rFonts w:ascii="Arial" w:eastAsia="Arial" w:hAnsi="Arial" w:cs="Arial"/>
        </w:rPr>
        <w:t xml:space="preserve">bito de los sindicatos obtuvo en la Tercera Evaluación Vinculante 2020 un IGOT de 25.9, el cual está compuesto por un índice de 28.78 en lo que corresponde a la Plataforma Nacional de Transparencia (PNT) y un índice de 23.09 en lo que se refiere al Portal </w:t>
      </w:r>
      <w:r>
        <w:rPr>
          <w:rFonts w:ascii="Arial" w:eastAsia="Arial" w:hAnsi="Arial" w:cs="Arial"/>
        </w:rPr>
        <w:t xml:space="preserve">de Transparencia (PI). </w:t>
      </w:r>
    </w:p>
    <w:p w14:paraId="6523B063"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color w:val="000000"/>
        </w:rPr>
        <w:t>Los sujetos obligados, así como su Índice de Cumplimiento de obligaciones de transparencia del Portal de Internet (IGOT-PI), el de la Plataforma Nacional de Transparencia (IGOT-PNT) y el Índice General de Cumplimiento de obligacione</w:t>
      </w:r>
      <w:r>
        <w:rPr>
          <w:rFonts w:ascii="Arial" w:eastAsia="Arial" w:hAnsi="Arial" w:cs="Arial"/>
          <w:color w:val="000000"/>
        </w:rPr>
        <w:t xml:space="preserve">s de transparencia (IGOT) se presentan en la siguiente tabla, ordenados de forma descendente, respecto del IGOT: </w:t>
      </w:r>
    </w:p>
    <w:p w14:paraId="25329FBB" w14:textId="77777777" w:rsidR="00067C34" w:rsidRDefault="00BA3CD1">
      <w:pPr>
        <w:spacing w:before="280"/>
        <w:jc w:val="both"/>
        <w:rPr>
          <w:rFonts w:ascii="Arial" w:eastAsia="Arial" w:hAnsi="Arial" w:cs="Arial"/>
          <w:b/>
        </w:rPr>
      </w:pPr>
      <w:r>
        <w:rPr>
          <w:rFonts w:ascii="Arial" w:eastAsia="Arial" w:hAnsi="Arial" w:cs="Arial"/>
          <w:b/>
        </w:rPr>
        <w:t>Comparativo de índices entre la Segunda Evaluación Vinculante 2020 y la Tercera Evaluación Vinculante 2020</w:t>
      </w:r>
    </w:p>
    <w:tbl>
      <w:tblPr>
        <w:tblStyle w:val="affb"/>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6273"/>
        <w:gridCol w:w="823"/>
        <w:gridCol w:w="823"/>
        <w:gridCol w:w="861"/>
      </w:tblGrid>
      <w:tr w:rsidR="00067C34" w14:paraId="229302F4" w14:textId="77777777">
        <w:trPr>
          <w:trHeight w:val="588"/>
        </w:trPr>
        <w:tc>
          <w:tcPr>
            <w:tcW w:w="566" w:type="dxa"/>
            <w:shd w:val="clear" w:color="auto" w:fill="F4B084"/>
            <w:vAlign w:val="center"/>
          </w:tcPr>
          <w:p w14:paraId="222693A4"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No.</w:t>
            </w:r>
          </w:p>
        </w:tc>
        <w:tc>
          <w:tcPr>
            <w:tcW w:w="6273" w:type="dxa"/>
            <w:shd w:val="clear" w:color="auto" w:fill="F4B084"/>
            <w:vAlign w:val="center"/>
          </w:tcPr>
          <w:p w14:paraId="3CFAB1BA"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Sujeto Obligado</w:t>
            </w:r>
          </w:p>
        </w:tc>
        <w:tc>
          <w:tcPr>
            <w:tcW w:w="823" w:type="dxa"/>
            <w:shd w:val="clear" w:color="auto" w:fill="F4B084"/>
            <w:vAlign w:val="center"/>
          </w:tcPr>
          <w:p w14:paraId="7880FA6B"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2da</w:t>
            </w:r>
          </w:p>
        </w:tc>
        <w:tc>
          <w:tcPr>
            <w:tcW w:w="823" w:type="dxa"/>
            <w:shd w:val="clear" w:color="auto" w:fill="F4B084"/>
            <w:vAlign w:val="center"/>
          </w:tcPr>
          <w:p w14:paraId="0713D083"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IGOT 3ra</w:t>
            </w:r>
          </w:p>
        </w:tc>
        <w:tc>
          <w:tcPr>
            <w:tcW w:w="861" w:type="dxa"/>
            <w:shd w:val="clear" w:color="auto" w:fill="F4B084"/>
            <w:vAlign w:val="center"/>
          </w:tcPr>
          <w:p w14:paraId="1E32EBF6" w14:textId="77777777" w:rsidR="00067C34" w:rsidRDefault="00BA3CD1">
            <w:pPr>
              <w:jc w:val="center"/>
              <w:rPr>
                <w:rFonts w:ascii="Arial" w:eastAsia="Arial" w:hAnsi="Arial" w:cs="Arial"/>
                <w:b/>
                <w:color w:val="000000"/>
                <w:sz w:val="20"/>
                <w:szCs w:val="20"/>
              </w:rPr>
            </w:pPr>
            <w:r>
              <w:rPr>
                <w:rFonts w:ascii="Arial" w:eastAsia="Arial" w:hAnsi="Arial" w:cs="Arial"/>
                <w:b/>
                <w:color w:val="000000"/>
                <w:sz w:val="20"/>
                <w:szCs w:val="20"/>
              </w:rPr>
              <w:t>Mejora</w:t>
            </w:r>
          </w:p>
        </w:tc>
      </w:tr>
      <w:tr w:rsidR="00067C34" w14:paraId="3235C59E" w14:textId="77777777">
        <w:trPr>
          <w:trHeight w:val="288"/>
        </w:trPr>
        <w:tc>
          <w:tcPr>
            <w:tcW w:w="566" w:type="dxa"/>
            <w:shd w:val="clear" w:color="auto" w:fill="auto"/>
            <w:vAlign w:val="center"/>
          </w:tcPr>
          <w:p w14:paraId="7CE5022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w:t>
            </w:r>
          </w:p>
        </w:tc>
        <w:tc>
          <w:tcPr>
            <w:tcW w:w="6273" w:type="dxa"/>
            <w:shd w:val="clear" w:color="auto" w:fill="auto"/>
            <w:vAlign w:val="center"/>
          </w:tcPr>
          <w:p w14:paraId="7890CF9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Trabajadores del Tribunal de Justicia Administrativa de la Ciudad de México.</w:t>
            </w:r>
          </w:p>
        </w:tc>
        <w:tc>
          <w:tcPr>
            <w:tcW w:w="823" w:type="dxa"/>
            <w:shd w:val="clear" w:color="auto" w:fill="auto"/>
            <w:vAlign w:val="center"/>
          </w:tcPr>
          <w:p w14:paraId="66788E8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97.00</w:t>
            </w:r>
          </w:p>
        </w:tc>
        <w:tc>
          <w:tcPr>
            <w:tcW w:w="823" w:type="dxa"/>
            <w:shd w:val="clear" w:color="auto" w:fill="auto"/>
            <w:vAlign w:val="center"/>
          </w:tcPr>
          <w:p w14:paraId="3A008D3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98.84</w:t>
            </w:r>
          </w:p>
        </w:tc>
        <w:tc>
          <w:tcPr>
            <w:tcW w:w="861" w:type="dxa"/>
            <w:shd w:val="clear" w:color="auto" w:fill="auto"/>
            <w:vAlign w:val="center"/>
          </w:tcPr>
          <w:p w14:paraId="423624FD"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1.84</w:t>
            </w:r>
          </w:p>
        </w:tc>
      </w:tr>
      <w:tr w:rsidR="00067C34" w14:paraId="6C104865" w14:textId="77777777">
        <w:trPr>
          <w:trHeight w:val="288"/>
        </w:trPr>
        <w:tc>
          <w:tcPr>
            <w:tcW w:w="566" w:type="dxa"/>
            <w:shd w:val="clear" w:color="auto" w:fill="auto"/>
            <w:vAlign w:val="center"/>
          </w:tcPr>
          <w:p w14:paraId="53EB11B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w:t>
            </w:r>
          </w:p>
        </w:tc>
        <w:tc>
          <w:tcPr>
            <w:tcW w:w="6273" w:type="dxa"/>
            <w:shd w:val="clear" w:color="auto" w:fill="auto"/>
            <w:vAlign w:val="center"/>
          </w:tcPr>
          <w:p w14:paraId="7C139914"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Trabajadores del Poder Judicial del Distrito Federal.</w:t>
            </w:r>
          </w:p>
        </w:tc>
        <w:tc>
          <w:tcPr>
            <w:tcW w:w="823" w:type="dxa"/>
            <w:shd w:val="clear" w:color="auto" w:fill="auto"/>
            <w:vAlign w:val="center"/>
          </w:tcPr>
          <w:p w14:paraId="16E4A14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85.30</w:t>
            </w:r>
          </w:p>
        </w:tc>
        <w:tc>
          <w:tcPr>
            <w:tcW w:w="823" w:type="dxa"/>
            <w:shd w:val="clear" w:color="auto" w:fill="auto"/>
            <w:vAlign w:val="center"/>
          </w:tcPr>
          <w:p w14:paraId="5C0C1B4D"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95.85</w:t>
            </w:r>
          </w:p>
        </w:tc>
        <w:tc>
          <w:tcPr>
            <w:tcW w:w="861" w:type="dxa"/>
            <w:shd w:val="clear" w:color="auto" w:fill="auto"/>
            <w:vAlign w:val="center"/>
          </w:tcPr>
          <w:p w14:paraId="5780322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10.55</w:t>
            </w:r>
          </w:p>
        </w:tc>
      </w:tr>
      <w:tr w:rsidR="00067C34" w14:paraId="2B957429" w14:textId="77777777">
        <w:trPr>
          <w:trHeight w:val="288"/>
        </w:trPr>
        <w:tc>
          <w:tcPr>
            <w:tcW w:w="566" w:type="dxa"/>
            <w:shd w:val="clear" w:color="auto" w:fill="auto"/>
            <w:vAlign w:val="center"/>
          </w:tcPr>
          <w:p w14:paraId="47B6492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w:t>
            </w:r>
          </w:p>
        </w:tc>
        <w:tc>
          <w:tcPr>
            <w:tcW w:w="6273" w:type="dxa"/>
            <w:shd w:val="clear" w:color="auto" w:fill="auto"/>
            <w:vAlign w:val="center"/>
          </w:tcPr>
          <w:p w14:paraId="3721E7D7"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Independiente de Trabajadores del Instituto de Educación Media Superior del Distrito Federal.</w:t>
            </w:r>
          </w:p>
        </w:tc>
        <w:tc>
          <w:tcPr>
            <w:tcW w:w="823" w:type="dxa"/>
            <w:shd w:val="clear" w:color="auto" w:fill="auto"/>
            <w:vAlign w:val="center"/>
          </w:tcPr>
          <w:p w14:paraId="2AC7E83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82.23</w:t>
            </w:r>
          </w:p>
        </w:tc>
        <w:tc>
          <w:tcPr>
            <w:tcW w:w="823" w:type="dxa"/>
            <w:shd w:val="clear" w:color="auto" w:fill="auto"/>
            <w:vAlign w:val="center"/>
          </w:tcPr>
          <w:p w14:paraId="5223656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85.97</w:t>
            </w:r>
          </w:p>
        </w:tc>
        <w:tc>
          <w:tcPr>
            <w:tcW w:w="861" w:type="dxa"/>
            <w:shd w:val="clear" w:color="auto" w:fill="auto"/>
            <w:vAlign w:val="center"/>
          </w:tcPr>
          <w:p w14:paraId="32F63D2B"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3.74</w:t>
            </w:r>
          </w:p>
        </w:tc>
      </w:tr>
      <w:tr w:rsidR="00067C34" w14:paraId="79092705" w14:textId="77777777">
        <w:trPr>
          <w:trHeight w:val="288"/>
        </w:trPr>
        <w:tc>
          <w:tcPr>
            <w:tcW w:w="566" w:type="dxa"/>
            <w:shd w:val="clear" w:color="auto" w:fill="auto"/>
            <w:vAlign w:val="center"/>
          </w:tcPr>
          <w:p w14:paraId="1F96250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4</w:t>
            </w:r>
          </w:p>
        </w:tc>
        <w:tc>
          <w:tcPr>
            <w:tcW w:w="6273" w:type="dxa"/>
            <w:shd w:val="clear" w:color="auto" w:fill="auto"/>
            <w:vAlign w:val="center"/>
          </w:tcPr>
          <w:p w14:paraId="5E1873F5"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Nacional de Trabajadores del Siste</w:t>
            </w:r>
            <w:r>
              <w:rPr>
                <w:rFonts w:ascii="Arial" w:eastAsia="Arial" w:hAnsi="Arial" w:cs="Arial"/>
                <w:color w:val="000000"/>
                <w:sz w:val="20"/>
                <w:szCs w:val="20"/>
              </w:rPr>
              <w:t>ma de Transporte Colectivo.</w:t>
            </w:r>
          </w:p>
        </w:tc>
        <w:tc>
          <w:tcPr>
            <w:tcW w:w="823" w:type="dxa"/>
            <w:shd w:val="clear" w:color="auto" w:fill="auto"/>
            <w:vAlign w:val="center"/>
          </w:tcPr>
          <w:p w14:paraId="6B25711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81.90</w:t>
            </w:r>
          </w:p>
        </w:tc>
        <w:tc>
          <w:tcPr>
            <w:tcW w:w="823" w:type="dxa"/>
            <w:shd w:val="clear" w:color="auto" w:fill="auto"/>
            <w:vAlign w:val="center"/>
          </w:tcPr>
          <w:p w14:paraId="16707F9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82.34</w:t>
            </w:r>
          </w:p>
        </w:tc>
        <w:tc>
          <w:tcPr>
            <w:tcW w:w="861" w:type="dxa"/>
            <w:shd w:val="clear" w:color="auto" w:fill="auto"/>
            <w:vAlign w:val="center"/>
          </w:tcPr>
          <w:p w14:paraId="74DA62B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0.44</w:t>
            </w:r>
          </w:p>
        </w:tc>
      </w:tr>
      <w:tr w:rsidR="00067C34" w14:paraId="05EBFFAB" w14:textId="77777777">
        <w:trPr>
          <w:trHeight w:val="288"/>
        </w:trPr>
        <w:tc>
          <w:tcPr>
            <w:tcW w:w="566" w:type="dxa"/>
            <w:shd w:val="clear" w:color="auto" w:fill="auto"/>
            <w:vAlign w:val="center"/>
          </w:tcPr>
          <w:p w14:paraId="6F2ADB6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w:t>
            </w:r>
          </w:p>
        </w:tc>
        <w:tc>
          <w:tcPr>
            <w:tcW w:w="6273" w:type="dxa"/>
            <w:shd w:val="clear" w:color="auto" w:fill="auto"/>
            <w:vAlign w:val="center"/>
          </w:tcPr>
          <w:p w14:paraId="5A310B7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Asociación Sindical de Trabajadores del Metro.</w:t>
            </w:r>
          </w:p>
        </w:tc>
        <w:tc>
          <w:tcPr>
            <w:tcW w:w="823" w:type="dxa"/>
            <w:shd w:val="clear" w:color="auto" w:fill="auto"/>
            <w:vAlign w:val="center"/>
          </w:tcPr>
          <w:p w14:paraId="26919B7D"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55.91</w:t>
            </w:r>
          </w:p>
        </w:tc>
        <w:tc>
          <w:tcPr>
            <w:tcW w:w="823" w:type="dxa"/>
            <w:shd w:val="clear" w:color="auto" w:fill="auto"/>
            <w:vAlign w:val="center"/>
          </w:tcPr>
          <w:p w14:paraId="3B06DA4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60.51</w:t>
            </w:r>
          </w:p>
        </w:tc>
        <w:tc>
          <w:tcPr>
            <w:tcW w:w="861" w:type="dxa"/>
            <w:shd w:val="clear" w:color="auto" w:fill="auto"/>
            <w:vAlign w:val="center"/>
          </w:tcPr>
          <w:p w14:paraId="10F0EE2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4.60</w:t>
            </w:r>
          </w:p>
        </w:tc>
      </w:tr>
      <w:tr w:rsidR="00067C34" w14:paraId="4FF2ED90" w14:textId="77777777">
        <w:trPr>
          <w:trHeight w:val="288"/>
        </w:trPr>
        <w:tc>
          <w:tcPr>
            <w:tcW w:w="566" w:type="dxa"/>
            <w:shd w:val="clear" w:color="auto" w:fill="auto"/>
            <w:vAlign w:val="center"/>
          </w:tcPr>
          <w:p w14:paraId="49BC05E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6</w:t>
            </w:r>
          </w:p>
        </w:tc>
        <w:tc>
          <w:tcPr>
            <w:tcW w:w="6273" w:type="dxa"/>
            <w:shd w:val="clear" w:color="auto" w:fill="auto"/>
            <w:vAlign w:val="center"/>
          </w:tcPr>
          <w:p w14:paraId="4D3A82DF"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Único de Trabajadores del Gobierno de la Ciudad de México.</w:t>
            </w:r>
          </w:p>
        </w:tc>
        <w:tc>
          <w:tcPr>
            <w:tcW w:w="823" w:type="dxa"/>
            <w:shd w:val="clear" w:color="auto" w:fill="auto"/>
            <w:vAlign w:val="center"/>
          </w:tcPr>
          <w:p w14:paraId="58BB81B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23" w:type="dxa"/>
            <w:shd w:val="clear" w:color="auto" w:fill="auto"/>
            <w:vAlign w:val="center"/>
          </w:tcPr>
          <w:p w14:paraId="2C6B7DF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53.47</w:t>
            </w:r>
          </w:p>
        </w:tc>
        <w:tc>
          <w:tcPr>
            <w:tcW w:w="861" w:type="dxa"/>
            <w:shd w:val="clear" w:color="auto" w:fill="auto"/>
            <w:vAlign w:val="center"/>
          </w:tcPr>
          <w:p w14:paraId="32CBCFE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53.47</w:t>
            </w:r>
          </w:p>
        </w:tc>
      </w:tr>
      <w:tr w:rsidR="00067C34" w14:paraId="487B0F43" w14:textId="77777777">
        <w:trPr>
          <w:trHeight w:val="288"/>
        </w:trPr>
        <w:tc>
          <w:tcPr>
            <w:tcW w:w="566" w:type="dxa"/>
            <w:shd w:val="clear" w:color="auto" w:fill="auto"/>
            <w:vAlign w:val="center"/>
          </w:tcPr>
          <w:p w14:paraId="35908CB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7</w:t>
            </w:r>
          </w:p>
        </w:tc>
        <w:tc>
          <w:tcPr>
            <w:tcW w:w="6273" w:type="dxa"/>
            <w:shd w:val="clear" w:color="auto" w:fill="auto"/>
            <w:vAlign w:val="center"/>
          </w:tcPr>
          <w:p w14:paraId="05726B4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Alianza de Tranviarios de México.</w:t>
            </w:r>
          </w:p>
        </w:tc>
        <w:tc>
          <w:tcPr>
            <w:tcW w:w="823" w:type="dxa"/>
            <w:shd w:val="clear" w:color="auto" w:fill="auto"/>
            <w:vAlign w:val="center"/>
          </w:tcPr>
          <w:p w14:paraId="118A116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16.41</w:t>
            </w:r>
          </w:p>
        </w:tc>
        <w:tc>
          <w:tcPr>
            <w:tcW w:w="823" w:type="dxa"/>
            <w:shd w:val="clear" w:color="auto" w:fill="auto"/>
            <w:vAlign w:val="center"/>
          </w:tcPr>
          <w:p w14:paraId="78CA865D"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25.86</w:t>
            </w:r>
          </w:p>
        </w:tc>
        <w:tc>
          <w:tcPr>
            <w:tcW w:w="861" w:type="dxa"/>
            <w:shd w:val="clear" w:color="auto" w:fill="auto"/>
            <w:vAlign w:val="center"/>
          </w:tcPr>
          <w:p w14:paraId="0C9197D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9.45</w:t>
            </w:r>
          </w:p>
        </w:tc>
      </w:tr>
      <w:tr w:rsidR="00067C34" w14:paraId="4532929F" w14:textId="77777777">
        <w:trPr>
          <w:trHeight w:val="288"/>
        </w:trPr>
        <w:tc>
          <w:tcPr>
            <w:tcW w:w="566" w:type="dxa"/>
            <w:shd w:val="clear" w:color="auto" w:fill="auto"/>
            <w:vAlign w:val="center"/>
          </w:tcPr>
          <w:p w14:paraId="3405565B"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8</w:t>
            </w:r>
          </w:p>
        </w:tc>
        <w:tc>
          <w:tcPr>
            <w:tcW w:w="6273" w:type="dxa"/>
            <w:shd w:val="clear" w:color="auto" w:fill="auto"/>
            <w:vAlign w:val="center"/>
          </w:tcPr>
          <w:p w14:paraId="4BCEB2C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Trabajadores de Transporte de Pasajeros del Distrito Federal.</w:t>
            </w:r>
          </w:p>
        </w:tc>
        <w:tc>
          <w:tcPr>
            <w:tcW w:w="823" w:type="dxa"/>
            <w:shd w:val="clear" w:color="auto" w:fill="auto"/>
            <w:vAlign w:val="center"/>
          </w:tcPr>
          <w:p w14:paraId="53AE693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13.01</w:t>
            </w:r>
          </w:p>
        </w:tc>
        <w:tc>
          <w:tcPr>
            <w:tcW w:w="823" w:type="dxa"/>
            <w:shd w:val="clear" w:color="auto" w:fill="auto"/>
            <w:vAlign w:val="center"/>
          </w:tcPr>
          <w:p w14:paraId="65066D4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17.66</w:t>
            </w:r>
          </w:p>
        </w:tc>
        <w:tc>
          <w:tcPr>
            <w:tcW w:w="861" w:type="dxa"/>
            <w:shd w:val="clear" w:color="auto" w:fill="auto"/>
            <w:vAlign w:val="center"/>
          </w:tcPr>
          <w:p w14:paraId="429ABC3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4.65</w:t>
            </w:r>
          </w:p>
        </w:tc>
      </w:tr>
      <w:tr w:rsidR="00067C34" w14:paraId="08BF9862" w14:textId="77777777">
        <w:trPr>
          <w:trHeight w:val="288"/>
        </w:trPr>
        <w:tc>
          <w:tcPr>
            <w:tcW w:w="566" w:type="dxa"/>
            <w:shd w:val="clear" w:color="auto" w:fill="auto"/>
            <w:vAlign w:val="center"/>
          </w:tcPr>
          <w:p w14:paraId="402FAA0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9</w:t>
            </w:r>
          </w:p>
        </w:tc>
        <w:tc>
          <w:tcPr>
            <w:tcW w:w="6273" w:type="dxa"/>
            <w:shd w:val="clear" w:color="auto" w:fill="auto"/>
            <w:vAlign w:val="center"/>
          </w:tcPr>
          <w:p w14:paraId="7F9B180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Asociación Sindical de Trabajadores del Instituto de Vivienda del Distrito Federal.</w:t>
            </w:r>
          </w:p>
        </w:tc>
        <w:tc>
          <w:tcPr>
            <w:tcW w:w="823" w:type="dxa"/>
            <w:shd w:val="clear" w:color="auto" w:fill="auto"/>
            <w:vAlign w:val="center"/>
          </w:tcPr>
          <w:p w14:paraId="7BF5889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3.17</w:t>
            </w:r>
          </w:p>
        </w:tc>
        <w:tc>
          <w:tcPr>
            <w:tcW w:w="823" w:type="dxa"/>
            <w:shd w:val="clear" w:color="auto" w:fill="auto"/>
            <w:vAlign w:val="center"/>
          </w:tcPr>
          <w:p w14:paraId="15856CE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3.17</w:t>
            </w:r>
          </w:p>
        </w:tc>
        <w:tc>
          <w:tcPr>
            <w:tcW w:w="861" w:type="dxa"/>
            <w:shd w:val="clear" w:color="auto" w:fill="auto"/>
            <w:vAlign w:val="center"/>
          </w:tcPr>
          <w:p w14:paraId="3AAFE3B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7D03191A" w14:textId="77777777">
        <w:trPr>
          <w:trHeight w:val="288"/>
        </w:trPr>
        <w:tc>
          <w:tcPr>
            <w:tcW w:w="566" w:type="dxa"/>
            <w:shd w:val="clear" w:color="auto" w:fill="auto"/>
            <w:vAlign w:val="center"/>
          </w:tcPr>
          <w:p w14:paraId="3945A43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10</w:t>
            </w:r>
          </w:p>
        </w:tc>
        <w:tc>
          <w:tcPr>
            <w:tcW w:w="6273" w:type="dxa"/>
            <w:shd w:val="clear" w:color="auto" w:fill="auto"/>
            <w:vAlign w:val="center"/>
          </w:tcPr>
          <w:p w14:paraId="3FB9D02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Auténtico de Trabajadores de la Asamblea Legislativa del Distrito Federal.</w:t>
            </w:r>
          </w:p>
        </w:tc>
        <w:tc>
          <w:tcPr>
            <w:tcW w:w="823" w:type="dxa"/>
            <w:shd w:val="clear" w:color="auto" w:fill="auto"/>
            <w:vAlign w:val="center"/>
          </w:tcPr>
          <w:p w14:paraId="56738A3D"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298B1BBB"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58B3990B"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2EC7E199" w14:textId="77777777">
        <w:trPr>
          <w:trHeight w:val="288"/>
        </w:trPr>
        <w:tc>
          <w:tcPr>
            <w:tcW w:w="566" w:type="dxa"/>
            <w:shd w:val="clear" w:color="auto" w:fill="auto"/>
            <w:vAlign w:val="center"/>
          </w:tcPr>
          <w:p w14:paraId="7AE7000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11</w:t>
            </w:r>
          </w:p>
        </w:tc>
        <w:tc>
          <w:tcPr>
            <w:tcW w:w="6273" w:type="dxa"/>
            <w:shd w:val="clear" w:color="auto" w:fill="auto"/>
            <w:vAlign w:val="center"/>
          </w:tcPr>
          <w:p w14:paraId="0AF97AB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la Unión de Trabajadores del Instituto de Educación Media Superior del Distrito Federal.</w:t>
            </w:r>
          </w:p>
        </w:tc>
        <w:tc>
          <w:tcPr>
            <w:tcW w:w="823" w:type="dxa"/>
            <w:shd w:val="clear" w:color="auto" w:fill="auto"/>
            <w:vAlign w:val="center"/>
          </w:tcPr>
          <w:p w14:paraId="1FE68F49"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6B13A93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6C4F06E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7E5D507D" w14:textId="77777777">
        <w:trPr>
          <w:trHeight w:val="288"/>
        </w:trPr>
        <w:tc>
          <w:tcPr>
            <w:tcW w:w="566" w:type="dxa"/>
            <w:shd w:val="clear" w:color="auto" w:fill="auto"/>
            <w:vAlign w:val="center"/>
          </w:tcPr>
          <w:p w14:paraId="452667C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12</w:t>
            </w:r>
          </w:p>
        </w:tc>
        <w:tc>
          <w:tcPr>
            <w:tcW w:w="6273" w:type="dxa"/>
            <w:shd w:val="clear" w:color="auto" w:fill="auto"/>
            <w:vAlign w:val="center"/>
          </w:tcPr>
          <w:p w14:paraId="6D68E64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Trabajadores de la Asamblea Legislativa del Distrito Federal.</w:t>
            </w:r>
          </w:p>
        </w:tc>
        <w:tc>
          <w:tcPr>
            <w:tcW w:w="823" w:type="dxa"/>
            <w:shd w:val="clear" w:color="auto" w:fill="auto"/>
            <w:vAlign w:val="center"/>
          </w:tcPr>
          <w:p w14:paraId="6C583F6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10868455"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138F5FDD"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6422ADB9" w14:textId="77777777">
        <w:trPr>
          <w:trHeight w:val="288"/>
        </w:trPr>
        <w:tc>
          <w:tcPr>
            <w:tcW w:w="566" w:type="dxa"/>
            <w:shd w:val="clear" w:color="auto" w:fill="auto"/>
            <w:vAlign w:val="center"/>
          </w:tcPr>
          <w:p w14:paraId="5CE5B5E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13</w:t>
            </w:r>
          </w:p>
        </w:tc>
        <w:tc>
          <w:tcPr>
            <w:tcW w:w="6273" w:type="dxa"/>
            <w:shd w:val="clear" w:color="auto" w:fill="auto"/>
            <w:vAlign w:val="center"/>
          </w:tcPr>
          <w:p w14:paraId="737F7D49"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Trabajadores de la Auditoría Superior de la Ciudad de México.</w:t>
            </w:r>
          </w:p>
        </w:tc>
        <w:tc>
          <w:tcPr>
            <w:tcW w:w="823" w:type="dxa"/>
            <w:shd w:val="clear" w:color="auto" w:fill="auto"/>
            <w:vAlign w:val="center"/>
          </w:tcPr>
          <w:p w14:paraId="7CF63FB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0DF76CC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68140C2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7E827FF6" w14:textId="77777777">
        <w:trPr>
          <w:trHeight w:val="288"/>
        </w:trPr>
        <w:tc>
          <w:tcPr>
            <w:tcW w:w="566" w:type="dxa"/>
            <w:shd w:val="clear" w:color="auto" w:fill="auto"/>
            <w:vAlign w:val="center"/>
          </w:tcPr>
          <w:p w14:paraId="216F7A9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14</w:t>
            </w:r>
          </w:p>
        </w:tc>
        <w:tc>
          <w:tcPr>
            <w:tcW w:w="6273" w:type="dxa"/>
            <w:shd w:val="clear" w:color="auto" w:fill="auto"/>
            <w:vAlign w:val="center"/>
          </w:tcPr>
          <w:p w14:paraId="4CBE80F1"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del Heroico Cuerpo de Bomberos del Distrito Federal.</w:t>
            </w:r>
          </w:p>
        </w:tc>
        <w:tc>
          <w:tcPr>
            <w:tcW w:w="823" w:type="dxa"/>
            <w:shd w:val="clear" w:color="auto" w:fill="auto"/>
            <w:vAlign w:val="center"/>
          </w:tcPr>
          <w:p w14:paraId="43657D1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277C7F2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6E278E1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750C9BF2" w14:textId="77777777">
        <w:trPr>
          <w:trHeight w:val="288"/>
        </w:trPr>
        <w:tc>
          <w:tcPr>
            <w:tcW w:w="566" w:type="dxa"/>
            <w:shd w:val="clear" w:color="auto" w:fill="auto"/>
            <w:vAlign w:val="center"/>
          </w:tcPr>
          <w:p w14:paraId="6F73F36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15</w:t>
            </w:r>
          </w:p>
        </w:tc>
        <w:tc>
          <w:tcPr>
            <w:tcW w:w="6273" w:type="dxa"/>
            <w:shd w:val="clear" w:color="auto" w:fill="auto"/>
            <w:vAlign w:val="center"/>
          </w:tcPr>
          <w:p w14:paraId="4E4CC98C"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Democrático de los Trabajadores de la Procuraduría Social del Distrito Federal.</w:t>
            </w:r>
          </w:p>
        </w:tc>
        <w:tc>
          <w:tcPr>
            <w:tcW w:w="823" w:type="dxa"/>
            <w:shd w:val="clear" w:color="auto" w:fill="auto"/>
            <w:vAlign w:val="center"/>
          </w:tcPr>
          <w:p w14:paraId="72DCDCB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1E0B748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38822D3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1B8C5D84" w14:textId="77777777">
        <w:trPr>
          <w:trHeight w:val="288"/>
        </w:trPr>
        <w:tc>
          <w:tcPr>
            <w:tcW w:w="566" w:type="dxa"/>
            <w:shd w:val="clear" w:color="auto" w:fill="auto"/>
            <w:vAlign w:val="center"/>
          </w:tcPr>
          <w:p w14:paraId="7FC7895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16</w:t>
            </w:r>
          </w:p>
        </w:tc>
        <w:tc>
          <w:tcPr>
            <w:tcW w:w="6273" w:type="dxa"/>
            <w:shd w:val="clear" w:color="auto" w:fill="auto"/>
            <w:vAlign w:val="center"/>
          </w:tcPr>
          <w:p w14:paraId="24EE087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Democrático Independiente de Trabajadores del Sistema de Transporte Colectivo.</w:t>
            </w:r>
          </w:p>
        </w:tc>
        <w:tc>
          <w:tcPr>
            <w:tcW w:w="823" w:type="dxa"/>
            <w:shd w:val="clear" w:color="auto" w:fill="auto"/>
            <w:vAlign w:val="center"/>
          </w:tcPr>
          <w:p w14:paraId="5AC74F9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2B451A97"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1519D85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1DBA34D1" w14:textId="77777777">
        <w:trPr>
          <w:trHeight w:val="288"/>
        </w:trPr>
        <w:tc>
          <w:tcPr>
            <w:tcW w:w="566" w:type="dxa"/>
            <w:shd w:val="clear" w:color="auto" w:fill="auto"/>
            <w:vAlign w:val="center"/>
          </w:tcPr>
          <w:p w14:paraId="72EC4C5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17</w:t>
            </w:r>
          </w:p>
        </w:tc>
        <w:tc>
          <w:tcPr>
            <w:tcW w:w="6273" w:type="dxa"/>
            <w:shd w:val="clear" w:color="auto" w:fill="auto"/>
            <w:vAlign w:val="center"/>
          </w:tcPr>
          <w:p w14:paraId="6E3AB3EC"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Independiente de Trabajadores Unidos de la Asamblea Legislativa del Distrito Federal.</w:t>
            </w:r>
          </w:p>
        </w:tc>
        <w:tc>
          <w:tcPr>
            <w:tcW w:w="823" w:type="dxa"/>
            <w:shd w:val="clear" w:color="auto" w:fill="auto"/>
            <w:vAlign w:val="center"/>
          </w:tcPr>
          <w:p w14:paraId="5D1555A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23" w:type="dxa"/>
            <w:shd w:val="clear" w:color="auto" w:fill="auto"/>
            <w:vAlign w:val="center"/>
          </w:tcPr>
          <w:p w14:paraId="1683B752"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2.50</w:t>
            </w:r>
          </w:p>
        </w:tc>
        <w:tc>
          <w:tcPr>
            <w:tcW w:w="861" w:type="dxa"/>
            <w:shd w:val="clear" w:color="auto" w:fill="auto"/>
            <w:vAlign w:val="center"/>
          </w:tcPr>
          <w:p w14:paraId="561C7B7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550512AD" w14:textId="77777777">
        <w:trPr>
          <w:trHeight w:val="288"/>
        </w:trPr>
        <w:tc>
          <w:tcPr>
            <w:tcW w:w="566" w:type="dxa"/>
            <w:shd w:val="clear" w:color="auto" w:fill="auto"/>
            <w:vAlign w:val="center"/>
          </w:tcPr>
          <w:p w14:paraId="0B88F791"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18</w:t>
            </w:r>
          </w:p>
        </w:tc>
        <w:tc>
          <w:tcPr>
            <w:tcW w:w="6273" w:type="dxa"/>
            <w:shd w:val="clear" w:color="auto" w:fill="auto"/>
            <w:vAlign w:val="center"/>
          </w:tcPr>
          <w:p w14:paraId="208E2DA6"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Único de Trabajadores de la Universidad Autónoma de la Ciudad de México.</w:t>
            </w:r>
          </w:p>
        </w:tc>
        <w:tc>
          <w:tcPr>
            <w:tcW w:w="823" w:type="dxa"/>
            <w:shd w:val="clear" w:color="auto" w:fill="auto"/>
            <w:vAlign w:val="center"/>
          </w:tcPr>
          <w:p w14:paraId="097A0715"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0.87</w:t>
            </w:r>
          </w:p>
        </w:tc>
        <w:tc>
          <w:tcPr>
            <w:tcW w:w="823" w:type="dxa"/>
            <w:shd w:val="clear" w:color="auto" w:fill="auto"/>
            <w:vAlign w:val="center"/>
          </w:tcPr>
          <w:p w14:paraId="296E78F0"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0.87</w:t>
            </w:r>
          </w:p>
        </w:tc>
        <w:tc>
          <w:tcPr>
            <w:tcW w:w="861" w:type="dxa"/>
            <w:shd w:val="clear" w:color="auto" w:fill="auto"/>
            <w:vAlign w:val="center"/>
          </w:tcPr>
          <w:p w14:paraId="0E224D88"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28330D34" w14:textId="77777777">
        <w:trPr>
          <w:trHeight w:val="288"/>
        </w:trPr>
        <w:tc>
          <w:tcPr>
            <w:tcW w:w="566" w:type="dxa"/>
            <w:shd w:val="clear" w:color="auto" w:fill="auto"/>
            <w:vAlign w:val="center"/>
          </w:tcPr>
          <w:p w14:paraId="3EAA607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19</w:t>
            </w:r>
          </w:p>
        </w:tc>
        <w:tc>
          <w:tcPr>
            <w:tcW w:w="6273" w:type="dxa"/>
            <w:shd w:val="clear" w:color="auto" w:fill="auto"/>
            <w:vAlign w:val="center"/>
          </w:tcPr>
          <w:p w14:paraId="2944C653"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 xml:space="preserve">Sindicato de Empleados del Servicio de </w:t>
            </w:r>
            <w:r>
              <w:rPr>
                <w:rFonts w:ascii="Arial" w:eastAsia="Arial" w:hAnsi="Arial" w:cs="Arial"/>
                <w:color w:val="000000"/>
                <w:sz w:val="20"/>
                <w:szCs w:val="20"/>
              </w:rPr>
              <w:t>Anales de Jurisprudencia.</w:t>
            </w:r>
          </w:p>
        </w:tc>
        <w:tc>
          <w:tcPr>
            <w:tcW w:w="823" w:type="dxa"/>
            <w:shd w:val="clear" w:color="auto" w:fill="auto"/>
            <w:vAlign w:val="center"/>
          </w:tcPr>
          <w:p w14:paraId="4E791DF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23" w:type="dxa"/>
            <w:shd w:val="clear" w:color="auto" w:fill="auto"/>
            <w:vAlign w:val="center"/>
          </w:tcPr>
          <w:p w14:paraId="178069D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61" w:type="dxa"/>
            <w:shd w:val="clear" w:color="auto" w:fill="auto"/>
            <w:vAlign w:val="center"/>
          </w:tcPr>
          <w:p w14:paraId="3468813F"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2E990663" w14:textId="77777777">
        <w:trPr>
          <w:trHeight w:val="288"/>
        </w:trPr>
        <w:tc>
          <w:tcPr>
            <w:tcW w:w="566" w:type="dxa"/>
            <w:shd w:val="clear" w:color="auto" w:fill="auto"/>
            <w:vAlign w:val="center"/>
          </w:tcPr>
          <w:p w14:paraId="498E4A06"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20</w:t>
            </w:r>
          </w:p>
        </w:tc>
        <w:tc>
          <w:tcPr>
            <w:tcW w:w="6273" w:type="dxa"/>
            <w:shd w:val="clear" w:color="auto" w:fill="auto"/>
            <w:vAlign w:val="center"/>
          </w:tcPr>
          <w:p w14:paraId="72BAA29E"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de Trabajadores del Tribunal Superior de Justicia del Distrito Federal.</w:t>
            </w:r>
          </w:p>
        </w:tc>
        <w:tc>
          <w:tcPr>
            <w:tcW w:w="823" w:type="dxa"/>
            <w:shd w:val="clear" w:color="auto" w:fill="auto"/>
            <w:vAlign w:val="center"/>
          </w:tcPr>
          <w:p w14:paraId="7CFD6A7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23" w:type="dxa"/>
            <w:shd w:val="clear" w:color="auto" w:fill="auto"/>
            <w:vAlign w:val="center"/>
          </w:tcPr>
          <w:p w14:paraId="20E9C314"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61" w:type="dxa"/>
            <w:shd w:val="clear" w:color="auto" w:fill="auto"/>
            <w:vAlign w:val="center"/>
          </w:tcPr>
          <w:p w14:paraId="42ED8F2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r w:rsidR="00067C34" w14:paraId="0E56BE89" w14:textId="77777777">
        <w:trPr>
          <w:trHeight w:val="300"/>
        </w:trPr>
        <w:tc>
          <w:tcPr>
            <w:tcW w:w="566" w:type="dxa"/>
            <w:shd w:val="clear" w:color="auto" w:fill="auto"/>
            <w:vAlign w:val="center"/>
          </w:tcPr>
          <w:p w14:paraId="3F96C12E"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21</w:t>
            </w:r>
          </w:p>
        </w:tc>
        <w:tc>
          <w:tcPr>
            <w:tcW w:w="6273" w:type="dxa"/>
            <w:shd w:val="clear" w:color="auto" w:fill="auto"/>
            <w:vAlign w:val="center"/>
          </w:tcPr>
          <w:p w14:paraId="157DEAEA" w14:textId="77777777" w:rsidR="00067C34" w:rsidRDefault="00BA3CD1">
            <w:pPr>
              <w:rPr>
                <w:rFonts w:ascii="Arial" w:eastAsia="Arial" w:hAnsi="Arial" w:cs="Arial"/>
                <w:color w:val="000000"/>
                <w:sz w:val="20"/>
                <w:szCs w:val="20"/>
              </w:rPr>
            </w:pPr>
            <w:r>
              <w:rPr>
                <w:rFonts w:ascii="Arial" w:eastAsia="Arial" w:hAnsi="Arial" w:cs="Arial"/>
                <w:color w:val="000000"/>
                <w:sz w:val="20"/>
                <w:szCs w:val="20"/>
              </w:rPr>
              <w:t>Sindicato Único de Trabajadores Democráticos del Sistema de Transporte Colectivo.</w:t>
            </w:r>
          </w:p>
        </w:tc>
        <w:tc>
          <w:tcPr>
            <w:tcW w:w="823" w:type="dxa"/>
            <w:shd w:val="clear" w:color="auto" w:fill="auto"/>
            <w:vAlign w:val="center"/>
          </w:tcPr>
          <w:p w14:paraId="1AA9C763"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23" w:type="dxa"/>
            <w:shd w:val="clear" w:color="auto" w:fill="auto"/>
            <w:vAlign w:val="center"/>
          </w:tcPr>
          <w:p w14:paraId="7E52D32A"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861" w:type="dxa"/>
            <w:shd w:val="clear" w:color="auto" w:fill="auto"/>
            <w:vAlign w:val="center"/>
          </w:tcPr>
          <w:p w14:paraId="4A7BE6EC" w14:textId="77777777" w:rsidR="00067C34" w:rsidRDefault="00BA3CD1">
            <w:pPr>
              <w:jc w:val="center"/>
              <w:rPr>
                <w:rFonts w:ascii="Arial" w:eastAsia="Arial" w:hAnsi="Arial" w:cs="Arial"/>
                <w:color w:val="000000"/>
                <w:sz w:val="20"/>
                <w:szCs w:val="20"/>
              </w:rPr>
            </w:pPr>
            <w:r>
              <w:rPr>
                <w:rFonts w:ascii="Arial" w:eastAsia="Arial" w:hAnsi="Arial" w:cs="Arial"/>
                <w:color w:val="000000"/>
                <w:sz w:val="20"/>
                <w:szCs w:val="20"/>
              </w:rPr>
              <w:t>0.00</w:t>
            </w:r>
          </w:p>
        </w:tc>
      </w:tr>
    </w:tbl>
    <w:p w14:paraId="30D8363B"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Nota metodológica</w:t>
      </w:r>
      <w:r>
        <w:rPr>
          <w:rFonts w:ascii="Arial" w:eastAsia="Arial" w:hAnsi="Arial" w:cs="Arial"/>
          <w:color w:val="000000"/>
          <w:sz w:val="16"/>
          <w:szCs w:val="16"/>
        </w:rPr>
        <w:t xml:space="preserve">: </w:t>
      </w:r>
    </w:p>
    <w:p w14:paraId="71A55291"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IGOT:</w:t>
      </w:r>
      <w:r>
        <w:rPr>
          <w:rFonts w:ascii="Arial" w:eastAsia="Arial" w:hAnsi="Arial" w:cs="Arial"/>
          <w:color w:val="000000"/>
          <w:sz w:val="16"/>
          <w:szCs w:val="16"/>
        </w:rPr>
        <w:t xml:space="preserve"> Índice Global de Cumplimiento en las Obligaciones de Transparencia y se refiere a la información que se encuentra publicada y actualizada tanto en la PNT y el PI del sujeto obligado.  El IGOT se compone del promedio de ICOT-PI e ICOT-PNT.</w:t>
      </w:r>
    </w:p>
    <w:p w14:paraId="6E5D7C69"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PI:</w:t>
      </w:r>
      <w:r>
        <w:rPr>
          <w:rFonts w:ascii="Arial" w:eastAsia="Arial" w:hAnsi="Arial" w:cs="Arial"/>
          <w:color w:val="000000"/>
          <w:sz w:val="16"/>
          <w:szCs w:val="16"/>
        </w:rPr>
        <w:t xml:space="preserve"> Índice </w:t>
      </w:r>
      <w:r>
        <w:rPr>
          <w:rFonts w:ascii="Arial" w:eastAsia="Arial" w:hAnsi="Arial" w:cs="Arial"/>
          <w:color w:val="000000"/>
          <w:sz w:val="16"/>
          <w:szCs w:val="16"/>
        </w:rPr>
        <w:t xml:space="preserve">de Cumplimiento en las Obligaciones de Transparencia que se refiere a la información que se encuentra publicada y actualizada en el portal de Internet (PI) del sujeto obligado. </w:t>
      </w:r>
    </w:p>
    <w:p w14:paraId="137AAC2D" w14:textId="77777777" w:rsidR="00067C34" w:rsidRDefault="00BA3CD1">
      <w:pPr>
        <w:jc w:val="both"/>
        <w:rPr>
          <w:rFonts w:ascii="Arial" w:eastAsia="Arial" w:hAnsi="Arial" w:cs="Arial"/>
          <w:color w:val="000000"/>
          <w:sz w:val="16"/>
          <w:szCs w:val="16"/>
        </w:rPr>
      </w:pPr>
      <w:r>
        <w:rPr>
          <w:rFonts w:ascii="Arial" w:eastAsia="Arial" w:hAnsi="Arial" w:cs="Arial"/>
          <w:b/>
          <w:color w:val="000000"/>
          <w:sz w:val="16"/>
          <w:szCs w:val="16"/>
        </w:rPr>
        <w:t>ICOT PNT:</w:t>
      </w:r>
      <w:r>
        <w:rPr>
          <w:rFonts w:ascii="Arial" w:eastAsia="Arial" w:hAnsi="Arial" w:cs="Arial"/>
          <w:color w:val="000000"/>
          <w:sz w:val="16"/>
          <w:szCs w:val="16"/>
        </w:rPr>
        <w:t xml:space="preserve"> Índice de Cumplimiento en las Obligaciones de Transparencia que se r</w:t>
      </w:r>
      <w:r>
        <w:rPr>
          <w:rFonts w:ascii="Arial" w:eastAsia="Arial" w:hAnsi="Arial" w:cs="Arial"/>
          <w:color w:val="000000"/>
          <w:sz w:val="16"/>
          <w:szCs w:val="16"/>
        </w:rPr>
        <w:t>efiere a la información que se encuentra publicada y actualizada en la Plataforma Nacional de Transparencia (PNT) del sujeto obligado.</w:t>
      </w:r>
    </w:p>
    <w:p w14:paraId="642C00B4" w14:textId="77777777" w:rsidR="00067C34" w:rsidRDefault="00067C34">
      <w:pPr>
        <w:spacing w:before="280" w:after="280" w:line="360" w:lineRule="auto"/>
        <w:jc w:val="both"/>
        <w:rPr>
          <w:rFonts w:ascii="Arial" w:eastAsia="Arial" w:hAnsi="Arial" w:cs="Arial"/>
          <w:color w:val="000000"/>
          <w:sz w:val="16"/>
          <w:szCs w:val="16"/>
        </w:rPr>
      </w:pPr>
    </w:p>
    <w:p w14:paraId="0723E8BD" w14:textId="77777777" w:rsidR="00067C34" w:rsidRDefault="00BA3CD1">
      <w:pPr>
        <w:spacing w:before="280" w:after="280" w:line="360" w:lineRule="auto"/>
        <w:jc w:val="both"/>
        <w:rPr>
          <w:rFonts w:ascii="Arial" w:eastAsia="Arial" w:hAnsi="Arial" w:cs="Arial"/>
          <w:color w:val="000000"/>
        </w:rPr>
      </w:pPr>
      <w:r>
        <w:rPr>
          <w:rFonts w:ascii="Arial" w:eastAsia="Arial" w:hAnsi="Arial" w:cs="Arial"/>
        </w:rPr>
        <w:t xml:space="preserve">Del total de sindicatos evaluados, 5 tienen un </w:t>
      </w:r>
      <w:r>
        <w:rPr>
          <w:rFonts w:ascii="Arial" w:eastAsia="Arial" w:hAnsi="Arial" w:cs="Arial"/>
          <w:b/>
        </w:rPr>
        <w:t>cumplimiento parcial</w:t>
      </w:r>
      <w:r>
        <w:rPr>
          <w:rFonts w:ascii="Arial" w:eastAsia="Arial" w:hAnsi="Arial" w:cs="Arial"/>
        </w:rPr>
        <w:t xml:space="preserve"> (entre 99.99 y 60 puntos) respecto a las obligacione</w:t>
      </w:r>
      <w:r>
        <w:rPr>
          <w:rFonts w:ascii="Arial" w:eastAsia="Arial" w:hAnsi="Arial" w:cs="Arial"/>
        </w:rPr>
        <w:t xml:space="preserve">s de transparencia, en donde, con el puntaje </w:t>
      </w:r>
      <w:r>
        <w:rPr>
          <w:rFonts w:ascii="Arial" w:eastAsia="Arial" w:hAnsi="Arial" w:cs="Arial"/>
          <w:color w:val="000000"/>
        </w:rPr>
        <w:t>más bajo, se encuentra la Asociación Sindical de Trabajadores del Metro, con un IGOT de 60.51. Mientras que el Sindicato de Trabajadores del Tribunal de Justicia Administrativa de la Ciudad de México, el Sindica</w:t>
      </w:r>
      <w:r>
        <w:rPr>
          <w:rFonts w:ascii="Arial" w:eastAsia="Arial" w:hAnsi="Arial" w:cs="Arial"/>
          <w:color w:val="000000"/>
        </w:rPr>
        <w:t>to de Trabajadores del Poder Judicial del Distrito Federal, el Sindicato Independiente de Trabajadores del Instituto de Educación Media Superior del Distrito Federal y el Sindicato Nacional de Trabajadores del Sistema de Transporte Colectivo tienen también</w:t>
      </w:r>
      <w:r>
        <w:rPr>
          <w:rFonts w:ascii="Arial" w:eastAsia="Arial" w:hAnsi="Arial" w:cs="Arial"/>
          <w:color w:val="000000"/>
        </w:rPr>
        <w:t xml:space="preserve"> cumplimiento parcial con un IGOT entre 82 y 98 puntos.</w:t>
      </w:r>
    </w:p>
    <w:p w14:paraId="07A44AFE" w14:textId="77777777" w:rsidR="00067C34" w:rsidRDefault="00BA3CD1">
      <w:pPr>
        <w:spacing w:before="280" w:after="280" w:line="360" w:lineRule="auto"/>
        <w:jc w:val="both"/>
        <w:rPr>
          <w:rFonts w:ascii="Arial" w:eastAsia="Arial" w:hAnsi="Arial" w:cs="Arial"/>
        </w:rPr>
      </w:pPr>
      <w:r>
        <w:rPr>
          <w:rFonts w:ascii="Arial" w:eastAsia="Arial" w:hAnsi="Arial" w:cs="Arial"/>
        </w:rPr>
        <w:t xml:space="preserve">Ahora bien, con un </w:t>
      </w:r>
      <w:r>
        <w:rPr>
          <w:rFonts w:ascii="Arial" w:eastAsia="Arial" w:hAnsi="Arial" w:cs="Arial"/>
          <w:b/>
        </w:rPr>
        <w:t>incumplimiento parcial</w:t>
      </w:r>
      <w:r>
        <w:rPr>
          <w:rFonts w:ascii="Arial" w:eastAsia="Arial" w:hAnsi="Arial" w:cs="Arial"/>
        </w:rPr>
        <w:t xml:space="preserve"> se encuentra la Alianza de Tranviarios de México con un IGOT de 25.86 y el Sindicato de Trabajadores de Transporte de Pasajeros del Distrito Federal con un ín</w:t>
      </w:r>
      <w:r>
        <w:rPr>
          <w:rFonts w:ascii="Arial" w:eastAsia="Arial" w:hAnsi="Arial" w:cs="Arial"/>
        </w:rPr>
        <w:t>dice de 17.66. Cabe destacar que el Sindicato Único de Trabajadores del Gobierno de la Ciudad de México tuvo un incremento sustantivo, debido a que pasó de tener un puntaje de 0 en la Segunda Evaluación Vinculante del 2020 a 53.47 puntos.</w:t>
      </w:r>
    </w:p>
    <w:p w14:paraId="44DDABD2" w14:textId="77777777" w:rsidR="00067C34" w:rsidRDefault="00BA3CD1">
      <w:pPr>
        <w:spacing w:before="280" w:after="280" w:line="360" w:lineRule="auto"/>
        <w:jc w:val="both"/>
        <w:rPr>
          <w:rFonts w:ascii="Arial" w:eastAsia="Arial" w:hAnsi="Arial" w:cs="Arial"/>
        </w:rPr>
      </w:pPr>
      <w:r>
        <w:rPr>
          <w:rFonts w:ascii="Arial" w:eastAsia="Arial" w:hAnsi="Arial" w:cs="Arial"/>
        </w:rPr>
        <w:t>Por otra parte, s</w:t>
      </w:r>
      <w:r>
        <w:rPr>
          <w:rFonts w:ascii="Arial" w:eastAsia="Arial" w:hAnsi="Arial" w:cs="Arial"/>
        </w:rPr>
        <w:t xml:space="preserve">on 13 los sindicatos que no atendieron a las observaciones realizadas en la Segunda Evaluación Vinculante 2020, por lo que mantuvieron el mismo resultado. Dentro de estos casos, se identifican tres que continúan sin publicar la información correspondiente </w:t>
      </w:r>
      <w:r>
        <w:rPr>
          <w:rFonts w:ascii="Arial" w:eastAsia="Arial" w:hAnsi="Arial" w:cs="Arial"/>
        </w:rPr>
        <w:t>a sus obligaciones de transparencia, por lo que su IGOT se mantiene en 0; estos son el Sindicato de Empleados del Servicio de Anales de Jurisprudencia, el Sindicato de Trabajadores del Tribunal Superior de Justicia del Distrito Federal y el Sindicato Único</w:t>
      </w:r>
      <w:r>
        <w:rPr>
          <w:rFonts w:ascii="Arial" w:eastAsia="Arial" w:hAnsi="Arial" w:cs="Arial"/>
        </w:rPr>
        <w:t xml:space="preserve"> de Trabajadores Democráticos del Sistema de Transporte Colectivo.</w:t>
      </w:r>
    </w:p>
    <w:p w14:paraId="07155DF3" w14:textId="77777777" w:rsidR="00067C34" w:rsidRDefault="00067C34">
      <w:pPr>
        <w:spacing w:before="280" w:line="360" w:lineRule="auto"/>
        <w:jc w:val="both"/>
        <w:rPr>
          <w:rFonts w:ascii="Arial" w:eastAsia="Arial" w:hAnsi="Arial" w:cs="Arial"/>
        </w:rPr>
      </w:pPr>
    </w:p>
    <w:p w14:paraId="59C1F1C4" w14:textId="77777777" w:rsidR="00067C34" w:rsidRDefault="00BA3CD1">
      <w:pPr>
        <w:spacing w:line="360" w:lineRule="auto"/>
        <w:jc w:val="center"/>
        <w:rPr>
          <w:rFonts w:ascii="Arial" w:eastAsia="Arial" w:hAnsi="Arial" w:cs="Arial"/>
        </w:rPr>
      </w:pPr>
      <w:r>
        <w:rPr>
          <w:rFonts w:ascii="Arial" w:eastAsia="Arial" w:hAnsi="Arial" w:cs="Arial"/>
          <w:noProof/>
        </w:rPr>
        <w:drawing>
          <wp:inline distT="0" distB="0" distL="0" distR="0" wp14:anchorId="6585F8E0" wp14:editId="5FA9962B">
            <wp:extent cx="5810250" cy="3495675"/>
            <wp:effectExtent l="0" t="0" r="0" b="0"/>
            <wp:docPr id="1277849398" name="Gráfico 1277849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64D8C7" w14:textId="77777777" w:rsidR="00067C34" w:rsidRDefault="00BA3CD1">
      <w:pPr>
        <w:rPr>
          <w:rFonts w:ascii="Arial" w:eastAsia="Arial" w:hAnsi="Arial" w:cs="Arial"/>
          <w:b/>
          <w:color w:val="000000"/>
        </w:rPr>
      </w:pPr>
      <w:bookmarkStart w:id="24" w:name="_heading=h.4i7ojhp" w:colFirst="0" w:colLast="0"/>
      <w:bookmarkEnd w:id="24"/>
      <w:r>
        <w:br w:type="page"/>
      </w:r>
    </w:p>
    <w:p w14:paraId="37DD0556" w14:textId="77777777" w:rsidR="00067C34" w:rsidRDefault="00BA3CD1">
      <w:pPr>
        <w:pStyle w:val="Ttulo1"/>
        <w:rPr>
          <w:rFonts w:ascii="Arial" w:eastAsia="Arial" w:hAnsi="Arial" w:cs="Arial"/>
          <w:b/>
          <w:color w:val="000000"/>
          <w:sz w:val="24"/>
          <w:szCs w:val="24"/>
        </w:rPr>
      </w:pPr>
      <w:bookmarkStart w:id="25" w:name="_heading=h.28h4qwu" w:colFirst="0" w:colLast="0"/>
      <w:bookmarkEnd w:id="25"/>
      <w:r>
        <w:rPr>
          <w:rFonts w:ascii="Arial" w:eastAsia="Arial" w:hAnsi="Arial" w:cs="Arial"/>
          <w:b/>
          <w:color w:val="000000"/>
          <w:sz w:val="24"/>
          <w:szCs w:val="24"/>
        </w:rPr>
        <w:t>ANÁLISIS SOBRE CONTRATACIONES</w:t>
      </w:r>
    </w:p>
    <w:p w14:paraId="3522932E" w14:textId="77777777" w:rsidR="00067C34" w:rsidRDefault="00067C34">
      <w:pPr>
        <w:spacing w:line="360" w:lineRule="auto"/>
        <w:jc w:val="both"/>
        <w:rPr>
          <w:rFonts w:ascii="Arial" w:eastAsia="Arial" w:hAnsi="Arial" w:cs="Arial"/>
        </w:rPr>
      </w:pPr>
    </w:p>
    <w:p w14:paraId="0A7512E5" w14:textId="77777777" w:rsidR="00067C34" w:rsidRDefault="00BA3CD1">
      <w:pPr>
        <w:spacing w:after="240" w:line="360" w:lineRule="auto"/>
        <w:jc w:val="both"/>
        <w:rPr>
          <w:rFonts w:ascii="Arial" w:eastAsia="Arial" w:hAnsi="Arial" w:cs="Arial"/>
        </w:rPr>
      </w:pPr>
      <w:r>
        <w:rPr>
          <w:rFonts w:ascii="Arial" w:eastAsia="Arial" w:hAnsi="Arial" w:cs="Arial"/>
        </w:rPr>
        <w:t>De acuerdo con la Encuesta Nacional de Acceso a la Información Pública y Protección de Datos Personales (ENAID) 2019</w:t>
      </w:r>
      <w:r>
        <w:rPr>
          <w:rFonts w:ascii="Arial" w:eastAsia="Arial" w:hAnsi="Arial" w:cs="Arial"/>
          <w:vertAlign w:val="superscript"/>
        </w:rPr>
        <w:footnoteReference w:id="1"/>
      </w:r>
      <w:r>
        <w:rPr>
          <w:rFonts w:ascii="Arial" w:eastAsia="Arial" w:hAnsi="Arial" w:cs="Arial"/>
        </w:rPr>
        <w:t xml:space="preserve"> entre las consultas que más hacen las personas están el directorio, los sueldos, los servicios y trámites, y las relativas a los contrato</w:t>
      </w:r>
      <w:r>
        <w:rPr>
          <w:rFonts w:ascii="Arial" w:eastAsia="Arial" w:hAnsi="Arial" w:cs="Arial"/>
        </w:rPr>
        <w:t xml:space="preserve">s, concesiones, compras y servicios de obra pública. Por ello, como parte de este ejercicio de la Segunda y de esta Tercera Evaluación Vinculante 2020, se hizo un análisis particular al </w:t>
      </w:r>
      <w:r>
        <w:rPr>
          <w:rFonts w:ascii="Arial" w:eastAsia="Arial" w:hAnsi="Arial" w:cs="Arial"/>
          <w:b/>
        </w:rPr>
        <w:t>cumplimiento a las obligaciones referidas a las contrataciones</w:t>
      </w:r>
      <w:r>
        <w:rPr>
          <w:rFonts w:ascii="Arial" w:eastAsia="Arial" w:hAnsi="Arial" w:cs="Arial"/>
        </w:rPr>
        <w:t xml:space="preserve"> por par</w:t>
      </w:r>
      <w:r>
        <w:rPr>
          <w:rFonts w:ascii="Arial" w:eastAsia="Arial" w:hAnsi="Arial" w:cs="Arial"/>
        </w:rPr>
        <w:t xml:space="preserve">te de los sujetos obligados de la Ciudad de México. </w:t>
      </w:r>
    </w:p>
    <w:p w14:paraId="4862A419" w14:textId="77777777" w:rsidR="00067C34" w:rsidRDefault="00BA3CD1">
      <w:pPr>
        <w:spacing w:after="240" w:line="360" w:lineRule="auto"/>
        <w:jc w:val="both"/>
        <w:rPr>
          <w:rFonts w:ascii="Arial" w:eastAsia="Arial" w:hAnsi="Arial" w:cs="Arial"/>
        </w:rPr>
      </w:pPr>
      <w:r>
        <w:rPr>
          <w:rFonts w:ascii="Arial" w:eastAsia="Arial" w:hAnsi="Arial" w:cs="Arial"/>
        </w:rPr>
        <w:t>En este sentido, para todos los sujetos obligados excepto para los partidos políticos y sindicatos (a los que no les aplica este artículo y fracción) se analizó la fracción XXX del artículo 121 de la Ley</w:t>
      </w:r>
      <w:r>
        <w:rPr>
          <w:rFonts w:ascii="Arial" w:eastAsia="Arial" w:hAnsi="Arial" w:cs="Arial"/>
        </w:rPr>
        <w:t xml:space="preserve"> de Transparencia, correspondiente a los resultados de la verificación realizada a los portales de Internet y a la Plataforma Nacional de Transparencia a la información de los procedimientos de contratación a través de </w:t>
      </w:r>
      <w:r>
        <w:rPr>
          <w:rFonts w:ascii="Arial" w:eastAsia="Arial" w:hAnsi="Arial" w:cs="Arial"/>
          <w:b/>
        </w:rPr>
        <w:t>licitación pública, invitación restri</w:t>
      </w:r>
      <w:r>
        <w:rPr>
          <w:rFonts w:ascii="Arial" w:eastAsia="Arial" w:hAnsi="Arial" w:cs="Arial"/>
          <w:b/>
        </w:rPr>
        <w:t>ngida y adjudicación directa</w:t>
      </w:r>
      <w:r>
        <w:rPr>
          <w:rFonts w:ascii="Arial" w:eastAsia="Arial" w:hAnsi="Arial" w:cs="Arial"/>
        </w:rPr>
        <w:t>.</w:t>
      </w:r>
    </w:p>
    <w:p w14:paraId="0B3E22CF" w14:textId="77777777" w:rsidR="00067C34" w:rsidRDefault="00BA3CD1">
      <w:pPr>
        <w:spacing w:after="240" w:line="360" w:lineRule="auto"/>
        <w:jc w:val="both"/>
        <w:rPr>
          <w:rFonts w:ascii="Arial" w:eastAsia="Arial" w:hAnsi="Arial" w:cs="Arial"/>
        </w:rPr>
      </w:pPr>
      <w:r>
        <w:rPr>
          <w:rFonts w:ascii="Arial" w:eastAsia="Arial" w:hAnsi="Arial" w:cs="Arial"/>
        </w:rPr>
        <w:t>Dada su naturaleza esta fracción no les aplica a los partidos políticos ni a los sindicatos, sin embargo, la norma mandata a los primeros a reportar la información relativa a las contrataciones de conformidad con la fracción I</w:t>
      </w:r>
      <w:r>
        <w:rPr>
          <w:rFonts w:ascii="Arial" w:eastAsia="Arial" w:hAnsi="Arial" w:cs="Arial"/>
        </w:rPr>
        <w:t>V del artículo 129 de la Ley, mientras que los sindicatos tienen que reportar sobre el uso y destino de los recursos que reciban de acuerdo con lo dispuesto por la fracción IV, del artículo 138 de la Ley de Transparencia.</w:t>
      </w:r>
    </w:p>
    <w:p w14:paraId="69CA1CDD" w14:textId="77777777" w:rsidR="00067C34" w:rsidRDefault="00BA3CD1">
      <w:pPr>
        <w:spacing w:after="240" w:line="360" w:lineRule="auto"/>
        <w:jc w:val="both"/>
        <w:rPr>
          <w:rFonts w:ascii="Arial" w:eastAsia="Arial" w:hAnsi="Arial" w:cs="Arial"/>
        </w:rPr>
      </w:pPr>
      <w:r>
        <w:rPr>
          <w:rFonts w:ascii="Arial" w:eastAsia="Arial" w:hAnsi="Arial" w:cs="Arial"/>
        </w:rPr>
        <w:t>En la verificación realizada sobre</w:t>
      </w:r>
      <w:r>
        <w:rPr>
          <w:rFonts w:ascii="Arial" w:eastAsia="Arial" w:hAnsi="Arial" w:cs="Arial"/>
        </w:rPr>
        <w:t xml:space="preserve"> las contrataciones se observó el cumplimiento de los sujetos obligados para la publicación de la información de conformidad con los Lineamientos, utilizando los formatos A121Fr30a, A121Fr30b, A129Fr04 y A138Fr04, según les corresponde.</w:t>
      </w:r>
    </w:p>
    <w:p w14:paraId="09C236EF" w14:textId="77777777" w:rsidR="00067C34" w:rsidRDefault="00BA3CD1">
      <w:pPr>
        <w:spacing w:after="240" w:line="360" w:lineRule="auto"/>
        <w:jc w:val="both"/>
        <w:rPr>
          <w:rFonts w:ascii="Arial" w:eastAsia="Arial" w:hAnsi="Arial" w:cs="Arial"/>
        </w:rPr>
      </w:pPr>
      <w:r>
        <w:rPr>
          <w:rFonts w:ascii="Arial" w:eastAsia="Arial" w:hAnsi="Arial" w:cs="Arial"/>
        </w:rPr>
        <w:t>En este sentido, el</w:t>
      </w:r>
      <w:r>
        <w:rPr>
          <w:rFonts w:ascii="Arial" w:eastAsia="Arial" w:hAnsi="Arial" w:cs="Arial"/>
        </w:rPr>
        <w:t xml:space="preserve"> promedio de cumplimiento de la publicación de información respecto de las </w:t>
      </w:r>
      <w:r>
        <w:rPr>
          <w:rFonts w:ascii="Arial" w:eastAsia="Arial" w:hAnsi="Arial" w:cs="Arial"/>
          <w:b/>
        </w:rPr>
        <w:t>contrataciones</w:t>
      </w:r>
      <w:r>
        <w:rPr>
          <w:rFonts w:ascii="Arial" w:eastAsia="Arial" w:hAnsi="Arial" w:cs="Arial"/>
        </w:rPr>
        <w:t xml:space="preserve"> para este grupo de 119 sujetos obligados que se verificaron fue de 55.64 puntos en la Segunda Evaluación, mientras que para la Tercera Evaluación aumentó a 67.16, es </w:t>
      </w:r>
      <w:r>
        <w:rPr>
          <w:rFonts w:ascii="Arial" w:eastAsia="Arial" w:hAnsi="Arial" w:cs="Arial"/>
        </w:rPr>
        <w:t>decir, un incremento de 11.52 puntos.</w:t>
      </w:r>
    </w:p>
    <w:p w14:paraId="7AC230D5" w14:textId="77777777" w:rsidR="00067C34" w:rsidRDefault="00BA3CD1">
      <w:pPr>
        <w:spacing w:after="240" w:line="360" w:lineRule="auto"/>
        <w:jc w:val="both"/>
        <w:rPr>
          <w:rFonts w:ascii="Arial" w:eastAsia="Arial" w:hAnsi="Arial" w:cs="Arial"/>
        </w:rPr>
      </w:pPr>
      <w:r>
        <w:rPr>
          <w:rFonts w:ascii="Arial" w:eastAsia="Arial" w:hAnsi="Arial" w:cs="Arial"/>
        </w:rPr>
        <w:t xml:space="preserve">Aunque con gradualidades distintas, en materia de contrataciones podemos afirmar que </w:t>
      </w:r>
      <w:r>
        <w:rPr>
          <w:rFonts w:ascii="Arial" w:eastAsia="Arial" w:hAnsi="Arial" w:cs="Arial"/>
          <w:b/>
        </w:rPr>
        <w:t>todos los ámbitos de gobierno mejoraron</w:t>
      </w:r>
      <w:r>
        <w:rPr>
          <w:rFonts w:ascii="Arial" w:eastAsia="Arial" w:hAnsi="Arial" w:cs="Arial"/>
        </w:rPr>
        <w:t xml:space="preserve"> y tuvieron un incremento en su cumplimiento producto de la atención en la mayoría de los suje</w:t>
      </w:r>
      <w:r>
        <w:rPr>
          <w:rFonts w:ascii="Arial" w:eastAsia="Arial" w:hAnsi="Arial" w:cs="Arial"/>
        </w:rPr>
        <w:t xml:space="preserve">tos obligados a las recomendaciones y observaciones que se les hicieron. En algunos casos las mejoras fueron muy significativas como en el Poder Judicial que incrementó de 78.81 a 100 puntos en cumplimiento de la fracción correspondiente a contrataciones, </w:t>
      </w:r>
      <w:r>
        <w:rPr>
          <w:rFonts w:ascii="Arial" w:eastAsia="Arial" w:hAnsi="Arial" w:cs="Arial"/>
        </w:rPr>
        <w:t>o bien, en el ámbito de los órganos desconcentrados que tuvo un incremento de 18.68 puntos al pasar de 54.26 en la Segunda Evaluación a 72.94 en la Tercera Evaluación. El otro ámbito que logró un cumplimiento total en las fracciones que se refieren a las c</w:t>
      </w:r>
      <w:r>
        <w:rPr>
          <w:rFonts w:ascii="Arial" w:eastAsia="Arial" w:hAnsi="Arial" w:cs="Arial"/>
        </w:rPr>
        <w:t xml:space="preserve">ontrataciones, fue el de la administración pública central que pasó de 94.50 a 100. </w:t>
      </w:r>
    </w:p>
    <w:p w14:paraId="06D85C8F" w14:textId="77777777" w:rsidR="00067C34" w:rsidRDefault="00BA3CD1">
      <w:pPr>
        <w:spacing w:after="240" w:line="360" w:lineRule="auto"/>
        <w:jc w:val="both"/>
        <w:rPr>
          <w:rFonts w:ascii="Arial" w:eastAsia="Arial" w:hAnsi="Arial" w:cs="Arial"/>
        </w:rPr>
      </w:pPr>
      <w:r>
        <w:rPr>
          <w:rFonts w:ascii="Arial" w:eastAsia="Arial" w:hAnsi="Arial" w:cs="Arial"/>
        </w:rPr>
        <w:t xml:space="preserve">En el otro extremo se ubican los partidos políticos y sindicatos que, a pesar de que mejoraron la publicación de sus contratos, se mantienen en el nivel de </w:t>
      </w:r>
      <w:r>
        <w:rPr>
          <w:rFonts w:ascii="Arial" w:eastAsia="Arial" w:hAnsi="Arial" w:cs="Arial"/>
          <w:b/>
        </w:rPr>
        <w:t xml:space="preserve">incumplimiento </w:t>
      </w:r>
      <w:r>
        <w:rPr>
          <w:rFonts w:ascii="Arial" w:eastAsia="Arial" w:hAnsi="Arial" w:cs="Arial"/>
          <w:b/>
        </w:rPr>
        <w:t>parcial</w:t>
      </w:r>
      <w:r>
        <w:rPr>
          <w:rFonts w:ascii="Arial" w:eastAsia="Arial" w:hAnsi="Arial" w:cs="Arial"/>
        </w:rPr>
        <w:t>; los institutos políticos pasaron de 40 a 45 puntos y los sindicatos tuvieron un incremento marginal que los hizo pasar de 19.17 a 21.56. Los resultados completos por ámbito de gobierno se describen en la siguiente gráfica:</w:t>
      </w:r>
    </w:p>
    <w:p w14:paraId="3563931F" w14:textId="77777777" w:rsidR="00067C34" w:rsidRDefault="00BA3CD1">
      <w:pPr>
        <w:pStyle w:val="Ttulo2"/>
        <w:rPr>
          <w:rFonts w:ascii="Arial" w:eastAsia="Arial" w:hAnsi="Arial" w:cs="Arial"/>
          <w:b/>
        </w:rPr>
      </w:pPr>
      <w:bookmarkStart w:id="26" w:name="_heading=h.nmf14n" w:colFirst="0" w:colLast="0"/>
      <w:bookmarkEnd w:id="26"/>
      <w:r>
        <w:rPr>
          <w:rFonts w:ascii="Arial" w:eastAsia="Arial" w:hAnsi="Arial" w:cs="Arial"/>
          <w:b/>
          <w:color w:val="000000"/>
          <w:sz w:val="24"/>
          <w:szCs w:val="24"/>
        </w:rPr>
        <w:t xml:space="preserve">Resultados del análisis </w:t>
      </w:r>
      <w:r>
        <w:rPr>
          <w:rFonts w:ascii="Arial" w:eastAsia="Arial" w:hAnsi="Arial" w:cs="Arial"/>
          <w:b/>
          <w:color w:val="000000"/>
          <w:sz w:val="24"/>
          <w:szCs w:val="24"/>
        </w:rPr>
        <w:t xml:space="preserve">a las fracciones relativas a las contrataciones </w:t>
      </w:r>
    </w:p>
    <w:p w14:paraId="480FD671" w14:textId="77777777" w:rsidR="00067C34" w:rsidRDefault="00BA3CD1">
      <w:pPr>
        <w:spacing w:line="360" w:lineRule="auto"/>
        <w:jc w:val="both"/>
        <w:rPr>
          <w:rFonts w:ascii="Arial" w:eastAsia="Arial" w:hAnsi="Arial" w:cs="Arial"/>
        </w:rPr>
      </w:pPr>
      <w:r>
        <w:rPr>
          <w:noProof/>
        </w:rPr>
        <w:drawing>
          <wp:inline distT="0" distB="0" distL="0" distR="0" wp14:anchorId="07F2E5F0" wp14:editId="0C6BD466">
            <wp:extent cx="5844540" cy="3959860"/>
            <wp:effectExtent l="0" t="0" r="0" b="0"/>
            <wp:docPr id="1277849399" name="Gráfico 1277849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Arial" w:eastAsia="Arial" w:hAnsi="Arial" w:cs="Arial"/>
        </w:rPr>
        <w:t>No obstante, las mejoras en todos los ámbitos, vale la pena destacar algunos resultados individuales. Para tal efecto, se muestran primero la distribución de los sujetos obligados de acuerdo con los niveles</w:t>
      </w:r>
      <w:r>
        <w:rPr>
          <w:rFonts w:ascii="Arial" w:eastAsia="Arial" w:hAnsi="Arial" w:cs="Arial"/>
        </w:rPr>
        <w:t xml:space="preserve"> de cumplimiento que obtuvieron en materia de contratos. </w:t>
      </w:r>
    </w:p>
    <w:p w14:paraId="22A28026" w14:textId="77777777" w:rsidR="00067C34" w:rsidRDefault="00BA3CD1">
      <w:pPr>
        <w:spacing w:before="240" w:line="360" w:lineRule="auto"/>
        <w:jc w:val="both"/>
        <w:rPr>
          <w:rFonts w:ascii="Arial" w:eastAsia="Arial" w:hAnsi="Arial" w:cs="Arial"/>
        </w:rPr>
      </w:pPr>
      <w:r>
        <w:rPr>
          <w:rFonts w:ascii="Arial" w:eastAsia="Arial" w:hAnsi="Arial" w:cs="Arial"/>
        </w:rPr>
        <w:t xml:space="preserve">Como se aprecia en la siguiente tabla, 45 de los 119 sujetos obligados mejoraron su nivel de cumplimiento en las fracciones que se refieren a contrataciones. Resalta que el nivel de </w:t>
      </w:r>
      <w:r>
        <w:rPr>
          <w:rFonts w:ascii="Arial" w:eastAsia="Arial" w:hAnsi="Arial" w:cs="Arial"/>
          <w:b/>
        </w:rPr>
        <w:t>cumplimiento tot</w:t>
      </w:r>
      <w:r>
        <w:rPr>
          <w:rFonts w:ascii="Arial" w:eastAsia="Arial" w:hAnsi="Arial" w:cs="Arial"/>
          <w:b/>
        </w:rPr>
        <w:t>al</w:t>
      </w:r>
      <w:r>
        <w:rPr>
          <w:rFonts w:ascii="Arial" w:eastAsia="Arial" w:hAnsi="Arial" w:cs="Arial"/>
        </w:rPr>
        <w:t xml:space="preserve"> a la publicación de información relativa a las contrataciones fue el que más aumentó ya que pasó de 34 sujetos obligados en la 2da. Evaluación a </w:t>
      </w:r>
      <w:r>
        <w:rPr>
          <w:rFonts w:ascii="Arial" w:eastAsia="Arial" w:hAnsi="Arial" w:cs="Arial"/>
          <w:b/>
        </w:rPr>
        <w:t>57 sujetos obligados</w:t>
      </w:r>
      <w:r>
        <w:rPr>
          <w:rFonts w:ascii="Arial" w:eastAsia="Arial" w:hAnsi="Arial" w:cs="Arial"/>
        </w:rPr>
        <w:t xml:space="preserve"> lo que representa casi la mitad (48%) de los 119 sujetos obligados verificados en la Ev</w:t>
      </w:r>
      <w:r>
        <w:rPr>
          <w:rFonts w:ascii="Arial" w:eastAsia="Arial" w:hAnsi="Arial" w:cs="Arial"/>
        </w:rPr>
        <w:t xml:space="preserve">aluación de Solventación. </w:t>
      </w:r>
    </w:p>
    <w:p w14:paraId="4F1AF624" w14:textId="77777777" w:rsidR="00067C34" w:rsidRDefault="00BA3CD1">
      <w:pPr>
        <w:spacing w:before="240"/>
        <w:jc w:val="both"/>
        <w:rPr>
          <w:rFonts w:ascii="Arial" w:eastAsia="Arial" w:hAnsi="Arial" w:cs="Arial"/>
          <w:b/>
          <w:sz w:val="22"/>
          <w:szCs w:val="22"/>
        </w:rPr>
      </w:pPr>
      <w:r>
        <w:rPr>
          <w:rFonts w:ascii="Arial" w:eastAsia="Arial" w:hAnsi="Arial" w:cs="Arial"/>
          <w:b/>
          <w:sz w:val="22"/>
          <w:szCs w:val="22"/>
        </w:rPr>
        <w:t>Comparativo del número de sujetos obligados por nivel de cumplimiento a la fracción que publica contratos</w:t>
      </w:r>
    </w:p>
    <w:tbl>
      <w:tblPr>
        <w:tblStyle w:val="affc"/>
        <w:tblW w:w="927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31"/>
        <w:gridCol w:w="1611"/>
        <w:gridCol w:w="1789"/>
        <w:gridCol w:w="1803"/>
        <w:gridCol w:w="1744"/>
      </w:tblGrid>
      <w:tr w:rsidR="00067C34" w14:paraId="537651A4" w14:textId="77777777">
        <w:trPr>
          <w:trHeight w:val="276"/>
        </w:trPr>
        <w:tc>
          <w:tcPr>
            <w:tcW w:w="2331" w:type="dxa"/>
            <w:tcBorders>
              <w:top w:val="single" w:sz="8" w:space="0" w:color="000000"/>
              <w:left w:val="single" w:sz="8" w:space="0" w:color="000000"/>
              <w:bottom w:val="single" w:sz="8" w:space="0" w:color="000000"/>
              <w:right w:val="single" w:sz="8" w:space="0" w:color="000000"/>
            </w:tcBorders>
            <w:shd w:val="clear" w:color="auto" w:fill="DCE6F1"/>
            <w:tcMar>
              <w:top w:w="100" w:type="dxa"/>
              <w:left w:w="100" w:type="dxa"/>
              <w:bottom w:w="100" w:type="dxa"/>
              <w:right w:w="100" w:type="dxa"/>
            </w:tcMar>
          </w:tcPr>
          <w:p w14:paraId="58618FBB" w14:textId="77777777" w:rsidR="00067C34" w:rsidRDefault="00BA3CD1">
            <w:pPr>
              <w:jc w:val="center"/>
              <w:rPr>
                <w:rFonts w:ascii="Arial" w:eastAsia="Arial" w:hAnsi="Arial" w:cs="Arial"/>
                <w:b/>
                <w:sz w:val="16"/>
                <w:szCs w:val="16"/>
              </w:rPr>
            </w:pPr>
            <w:r>
              <w:rPr>
                <w:rFonts w:ascii="Arial" w:eastAsia="Arial" w:hAnsi="Arial" w:cs="Arial"/>
                <w:b/>
                <w:sz w:val="16"/>
                <w:szCs w:val="16"/>
              </w:rPr>
              <w:t>Ámbitos de gobierno</w:t>
            </w:r>
          </w:p>
        </w:tc>
        <w:tc>
          <w:tcPr>
            <w:tcW w:w="1611" w:type="dxa"/>
            <w:tcBorders>
              <w:top w:val="single" w:sz="8" w:space="0" w:color="000000"/>
              <w:left w:val="nil"/>
              <w:bottom w:val="single" w:sz="8" w:space="0" w:color="000000"/>
              <w:right w:val="single" w:sz="8" w:space="0" w:color="000000"/>
            </w:tcBorders>
            <w:shd w:val="clear" w:color="auto" w:fill="DCE6F1"/>
            <w:tcMar>
              <w:top w:w="100" w:type="dxa"/>
              <w:left w:w="100" w:type="dxa"/>
              <w:bottom w:w="100" w:type="dxa"/>
              <w:right w:w="100" w:type="dxa"/>
            </w:tcMar>
          </w:tcPr>
          <w:p w14:paraId="31D3CBCE" w14:textId="77777777" w:rsidR="00067C34" w:rsidRDefault="00BA3CD1">
            <w:pPr>
              <w:jc w:val="center"/>
              <w:rPr>
                <w:rFonts w:ascii="Arial" w:eastAsia="Arial" w:hAnsi="Arial" w:cs="Arial"/>
                <w:b/>
                <w:sz w:val="16"/>
                <w:szCs w:val="16"/>
              </w:rPr>
            </w:pPr>
            <w:r>
              <w:rPr>
                <w:rFonts w:ascii="Arial" w:eastAsia="Arial" w:hAnsi="Arial" w:cs="Arial"/>
                <w:b/>
                <w:sz w:val="16"/>
                <w:szCs w:val="16"/>
              </w:rPr>
              <w:t>Cumplimiento total</w:t>
            </w:r>
          </w:p>
          <w:p w14:paraId="253E73A1" w14:textId="77777777" w:rsidR="00067C34" w:rsidRDefault="00BA3CD1">
            <w:pPr>
              <w:jc w:val="center"/>
              <w:rPr>
                <w:rFonts w:ascii="Arial" w:eastAsia="Arial" w:hAnsi="Arial" w:cs="Arial"/>
                <w:b/>
                <w:sz w:val="16"/>
                <w:szCs w:val="16"/>
              </w:rPr>
            </w:pPr>
            <w:r>
              <w:rPr>
                <w:rFonts w:ascii="Arial" w:eastAsia="Arial" w:hAnsi="Arial" w:cs="Arial"/>
                <w:b/>
                <w:sz w:val="16"/>
                <w:szCs w:val="16"/>
              </w:rPr>
              <w:t>(100 puntos)</w:t>
            </w:r>
          </w:p>
        </w:tc>
        <w:tc>
          <w:tcPr>
            <w:tcW w:w="1789" w:type="dxa"/>
            <w:tcBorders>
              <w:top w:val="single" w:sz="8" w:space="0" w:color="000000"/>
              <w:left w:val="nil"/>
              <w:bottom w:val="single" w:sz="8" w:space="0" w:color="000000"/>
              <w:right w:val="single" w:sz="8" w:space="0" w:color="000000"/>
            </w:tcBorders>
            <w:shd w:val="clear" w:color="auto" w:fill="DCE6F1"/>
            <w:tcMar>
              <w:top w:w="100" w:type="dxa"/>
              <w:left w:w="100" w:type="dxa"/>
              <w:bottom w:w="100" w:type="dxa"/>
              <w:right w:w="100" w:type="dxa"/>
            </w:tcMar>
          </w:tcPr>
          <w:p w14:paraId="67E6C080" w14:textId="77777777" w:rsidR="00067C34" w:rsidRDefault="00BA3CD1">
            <w:pPr>
              <w:jc w:val="center"/>
              <w:rPr>
                <w:rFonts w:ascii="Arial" w:eastAsia="Arial" w:hAnsi="Arial" w:cs="Arial"/>
                <w:b/>
                <w:sz w:val="16"/>
                <w:szCs w:val="16"/>
              </w:rPr>
            </w:pPr>
            <w:r>
              <w:rPr>
                <w:rFonts w:ascii="Arial" w:eastAsia="Arial" w:hAnsi="Arial" w:cs="Arial"/>
                <w:b/>
                <w:sz w:val="16"/>
                <w:szCs w:val="16"/>
              </w:rPr>
              <w:t>Cumplimiento parcial</w:t>
            </w:r>
          </w:p>
          <w:p w14:paraId="1A73E69D" w14:textId="77777777" w:rsidR="00067C34" w:rsidRDefault="00BA3CD1">
            <w:pPr>
              <w:jc w:val="center"/>
              <w:rPr>
                <w:rFonts w:ascii="Arial" w:eastAsia="Arial" w:hAnsi="Arial" w:cs="Arial"/>
                <w:b/>
                <w:sz w:val="16"/>
                <w:szCs w:val="16"/>
              </w:rPr>
            </w:pPr>
            <w:r>
              <w:rPr>
                <w:rFonts w:ascii="Arial" w:eastAsia="Arial" w:hAnsi="Arial" w:cs="Arial"/>
                <w:b/>
                <w:sz w:val="16"/>
                <w:szCs w:val="16"/>
              </w:rPr>
              <w:t>(60 a 99.99 puntos)</w:t>
            </w:r>
          </w:p>
        </w:tc>
        <w:tc>
          <w:tcPr>
            <w:tcW w:w="1803" w:type="dxa"/>
            <w:tcBorders>
              <w:top w:val="single" w:sz="8" w:space="0" w:color="000000"/>
              <w:left w:val="nil"/>
              <w:bottom w:val="single" w:sz="8" w:space="0" w:color="000000"/>
              <w:right w:val="single" w:sz="8" w:space="0" w:color="000000"/>
            </w:tcBorders>
            <w:shd w:val="clear" w:color="auto" w:fill="DCE6F1"/>
            <w:tcMar>
              <w:top w:w="100" w:type="dxa"/>
              <w:left w:w="100" w:type="dxa"/>
              <w:bottom w:w="100" w:type="dxa"/>
              <w:right w:w="100" w:type="dxa"/>
            </w:tcMar>
          </w:tcPr>
          <w:p w14:paraId="6B62CF07" w14:textId="77777777" w:rsidR="00067C34" w:rsidRDefault="00BA3CD1">
            <w:pPr>
              <w:jc w:val="center"/>
              <w:rPr>
                <w:rFonts w:ascii="Arial" w:eastAsia="Arial" w:hAnsi="Arial" w:cs="Arial"/>
                <w:b/>
                <w:sz w:val="16"/>
                <w:szCs w:val="16"/>
              </w:rPr>
            </w:pPr>
            <w:r>
              <w:rPr>
                <w:rFonts w:ascii="Arial" w:eastAsia="Arial" w:hAnsi="Arial" w:cs="Arial"/>
                <w:b/>
                <w:sz w:val="16"/>
                <w:szCs w:val="16"/>
              </w:rPr>
              <w:t>Incumplimiento parcial</w:t>
            </w:r>
          </w:p>
          <w:p w14:paraId="48AD3003" w14:textId="77777777" w:rsidR="00067C34" w:rsidRDefault="00BA3CD1">
            <w:pPr>
              <w:jc w:val="center"/>
              <w:rPr>
                <w:rFonts w:ascii="Arial" w:eastAsia="Arial" w:hAnsi="Arial" w:cs="Arial"/>
                <w:b/>
                <w:sz w:val="16"/>
                <w:szCs w:val="16"/>
              </w:rPr>
            </w:pPr>
            <w:r>
              <w:rPr>
                <w:rFonts w:ascii="Arial" w:eastAsia="Arial" w:hAnsi="Arial" w:cs="Arial"/>
                <w:b/>
                <w:sz w:val="16"/>
                <w:szCs w:val="16"/>
              </w:rPr>
              <w:t>(1 a 59.99 puntos)</w:t>
            </w:r>
          </w:p>
        </w:tc>
        <w:tc>
          <w:tcPr>
            <w:tcW w:w="1744" w:type="dxa"/>
            <w:tcBorders>
              <w:top w:val="single" w:sz="8" w:space="0" w:color="000000"/>
              <w:left w:val="nil"/>
              <w:bottom w:val="single" w:sz="8" w:space="0" w:color="000000"/>
              <w:right w:val="single" w:sz="8" w:space="0" w:color="000000"/>
            </w:tcBorders>
            <w:shd w:val="clear" w:color="auto" w:fill="DCE6F1"/>
            <w:tcMar>
              <w:top w:w="100" w:type="dxa"/>
              <w:left w:w="100" w:type="dxa"/>
              <w:bottom w:w="100" w:type="dxa"/>
              <w:right w:w="100" w:type="dxa"/>
            </w:tcMar>
          </w:tcPr>
          <w:p w14:paraId="3717AF4B" w14:textId="77777777" w:rsidR="00067C34" w:rsidRDefault="00BA3CD1">
            <w:pPr>
              <w:jc w:val="center"/>
              <w:rPr>
                <w:rFonts w:ascii="Arial" w:eastAsia="Arial" w:hAnsi="Arial" w:cs="Arial"/>
                <w:b/>
                <w:sz w:val="16"/>
                <w:szCs w:val="16"/>
              </w:rPr>
            </w:pPr>
            <w:r>
              <w:rPr>
                <w:rFonts w:ascii="Arial" w:eastAsia="Arial" w:hAnsi="Arial" w:cs="Arial"/>
                <w:b/>
                <w:sz w:val="16"/>
                <w:szCs w:val="16"/>
              </w:rPr>
              <w:t>Incumplimiento total</w:t>
            </w:r>
          </w:p>
          <w:p w14:paraId="22AC9FAC" w14:textId="77777777" w:rsidR="00067C34" w:rsidRDefault="00BA3CD1">
            <w:pPr>
              <w:jc w:val="center"/>
              <w:rPr>
                <w:rFonts w:ascii="Arial" w:eastAsia="Arial" w:hAnsi="Arial" w:cs="Arial"/>
                <w:b/>
                <w:sz w:val="16"/>
                <w:szCs w:val="16"/>
              </w:rPr>
            </w:pPr>
            <w:r>
              <w:rPr>
                <w:rFonts w:ascii="Arial" w:eastAsia="Arial" w:hAnsi="Arial" w:cs="Arial"/>
                <w:b/>
                <w:sz w:val="16"/>
                <w:szCs w:val="16"/>
              </w:rPr>
              <w:t>(0 puntos)</w:t>
            </w:r>
          </w:p>
        </w:tc>
      </w:tr>
      <w:tr w:rsidR="00067C34" w14:paraId="4D60571A" w14:textId="77777777">
        <w:trPr>
          <w:trHeight w:val="216"/>
        </w:trPr>
        <w:tc>
          <w:tcPr>
            <w:tcW w:w="23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D26D757" w14:textId="77777777" w:rsidR="00067C34" w:rsidRDefault="00BA3CD1">
            <w:pPr>
              <w:jc w:val="both"/>
              <w:rPr>
                <w:rFonts w:ascii="Arial" w:eastAsia="Arial" w:hAnsi="Arial" w:cs="Arial"/>
                <w:sz w:val="18"/>
                <w:szCs w:val="18"/>
              </w:rPr>
            </w:pPr>
            <w:r>
              <w:rPr>
                <w:rFonts w:ascii="Arial" w:eastAsia="Arial" w:hAnsi="Arial" w:cs="Arial"/>
                <w:sz w:val="18"/>
                <w:szCs w:val="18"/>
              </w:rPr>
              <w:t>2da Evaluación</w:t>
            </w:r>
          </w:p>
        </w:tc>
        <w:tc>
          <w:tcPr>
            <w:tcW w:w="1611"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62031D8" w14:textId="77777777" w:rsidR="00067C34" w:rsidRDefault="00BA3CD1">
            <w:pPr>
              <w:jc w:val="center"/>
              <w:rPr>
                <w:rFonts w:ascii="Arial" w:eastAsia="Arial" w:hAnsi="Arial" w:cs="Arial"/>
                <w:sz w:val="18"/>
                <w:szCs w:val="18"/>
              </w:rPr>
            </w:pPr>
            <w:r>
              <w:rPr>
                <w:rFonts w:ascii="Arial" w:eastAsia="Arial" w:hAnsi="Arial" w:cs="Arial"/>
                <w:sz w:val="18"/>
                <w:szCs w:val="18"/>
              </w:rPr>
              <w:t>34</w:t>
            </w:r>
          </w:p>
        </w:tc>
        <w:tc>
          <w:tcPr>
            <w:tcW w:w="178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C251472" w14:textId="77777777" w:rsidR="00067C34" w:rsidRDefault="00BA3CD1">
            <w:pPr>
              <w:jc w:val="center"/>
              <w:rPr>
                <w:rFonts w:ascii="Arial" w:eastAsia="Arial" w:hAnsi="Arial" w:cs="Arial"/>
                <w:sz w:val="18"/>
                <w:szCs w:val="18"/>
              </w:rPr>
            </w:pPr>
            <w:r>
              <w:rPr>
                <w:rFonts w:ascii="Arial" w:eastAsia="Arial" w:hAnsi="Arial" w:cs="Arial"/>
                <w:sz w:val="18"/>
                <w:szCs w:val="18"/>
              </w:rPr>
              <w:t>25</w:t>
            </w:r>
          </w:p>
        </w:tc>
        <w:tc>
          <w:tcPr>
            <w:tcW w:w="1803"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58E1F40" w14:textId="77777777" w:rsidR="00067C34" w:rsidRDefault="00BA3CD1">
            <w:pPr>
              <w:jc w:val="center"/>
              <w:rPr>
                <w:rFonts w:ascii="Arial" w:eastAsia="Arial" w:hAnsi="Arial" w:cs="Arial"/>
                <w:sz w:val="18"/>
                <w:szCs w:val="18"/>
              </w:rPr>
            </w:pPr>
            <w:r>
              <w:rPr>
                <w:rFonts w:ascii="Arial" w:eastAsia="Arial" w:hAnsi="Arial" w:cs="Arial"/>
                <w:sz w:val="18"/>
                <w:szCs w:val="18"/>
              </w:rPr>
              <w:t>25</w:t>
            </w:r>
          </w:p>
        </w:tc>
        <w:tc>
          <w:tcPr>
            <w:tcW w:w="174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85198D0" w14:textId="77777777" w:rsidR="00067C34" w:rsidRDefault="00BA3CD1">
            <w:pPr>
              <w:jc w:val="center"/>
              <w:rPr>
                <w:rFonts w:ascii="Arial" w:eastAsia="Arial" w:hAnsi="Arial" w:cs="Arial"/>
                <w:sz w:val="18"/>
                <w:szCs w:val="18"/>
              </w:rPr>
            </w:pPr>
            <w:r>
              <w:rPr>
                <w:rFonts w:ascii="Arial" w:eastAsia="Arial" w:hAnsi="Arial" w:cs="Arial"/>
                <w:sz w:val="18"/>
                <w:szCs w:val="18"/>
              </w:rPr>
              <w:t>35</w:t>
            </w:r>
          </w:p>
        </w:tc>
      </w:tr>
      <w:tr w:rsidR="00067C34" w14:paraId="4F6D2C5B" w14:textId="77777777">
        <w:trPr>
          <w:trHeight w:val="292"/>
        </w:trPr>
        <w:tc>
          <w:tcPr>
            <w:tcW w:w="23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3FA5DBC" w14:textId="77777777" w:rsidR="00067C34" w:rsidRDefault="00BA3CD1">
            <w:pPr>
              <w:jc w:val="both"/>
              <w:rPr>
                <w:rFonts w:ascii="Arial" w:eastAsia="Arial" w:hAnsi="Arial" w:cs="Arial"/>
                <w:sz w:val="18"/>
                <w:szCs w:val="18"/>
              </w:rPr>
            </w:pPr>
            <w:r>
              <w:rPr>
                <w:rFonts w:ascii="Arial" w:eastAsia="Arial" w:hAnsi="Arial" w:cs="Arial"/>
                <w:sz w:val="18"/>
                <w:szCs w:val="18"/>
              </w:rPr>
              <w:t>3ra Evaluación (Solventación)</w:t>
            </w:r>
          </w:p>
        </w:tc>
        <w:tc>
          <w:tcPr>
            <w:tcW w:w="1611"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36EAAE3E" w14:textId="77777777" w:rsidR="00067C34" w:rsidRDefault="00BA3CD1">
            <w:pPr>
              <w:jc w:val="center"/>
              <w:rPr>
                <w:rFonts w:ascii="Arial" w:eastAsia="Arial" w:hAnsi="Arial" w:cs="Arial"/>
                <w:sz w:val="18"/>
                <w:szCs w:val="18"/>
              </w:rPr>
            </w:pPr>
            <w:r>
              <w:rPr>
                <w:rFonts w:ascii="Arial" w:eastAsia="Arial" w:hAnsi="Arial" w:cs="Arial"/>
                <w:sz w:val="18"/>
                <w:szCs w:val="18"/>
              </w:rPr>
              <w:t>57</w:t>
            </w:r>
          </w:p>
        </w:tc>
        <w:tc>
          <w:tcPr>
            <w:tcW w:w="178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42B5C29" w14:textId="77777777" w:rsidR="00067C34" w:rsidRDefault="00BA3CD1">
            <w:pPr>
              <w:jc w:val="center"/>
              <w:rPr>
                <w:rFonts w:ascii="Arial" w:eastAsia="Arial" w:hAnsi="Arial" w:cs="Arial"/>
                <w:sz w:val="18"/>
                <w:szCs w:val="18"/>
              </w:rPr>
            </w:pPr>
            <w:r>
              <w:rPr>
                <w:rFonts w:ascii="Arial" w:eastAsia="Arial" w:hAnsi="Arial" w:cs="Arial"/>
                <w:sz w:val="18"/>
                <w:szCs w:val="18"/>
              </w:rPr>
              <w:t>21</w:t>
            </w:r>
          </w:p>
        </w:tc>
        <w:tc>
          <w:tcPr>
            <w:tcW w:w="1803"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E7B705A" w14:textId="77777777" w:rsidR="00067C34" w:rsidRDefault="00BA3CD1">
            <w:pPr>
              <w:jc w:val="center"/>
              <w:rPr>
                <w:rFonts w:ascii="Arial" w:eastAsia="Arial" w:hAnsi="Arial" w:cs="Arial"/>
                <w:sz w:val="18"/>
                <w:szCs w:val="18"/>
              </w:rPr>
            </w:pPr>
            <w:r>
              <w:rPr>
                <w:rFonts w:ascii="Arial" w:eastAsia="Arial" w:hAnsi="Arial" w:cs="Arial"/>
                <w:sz w:val="18"/>
                <w:szCs w:val="18"/>
              </w:rPr>
              <w:t>10</w:t>
            </w:r>
          </w:p>
        </w:tc>
        <w:tc>
          <w:tcPr>
            <w:tcW w:w="174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0921646" w14:textId="77777777" w:rsidR="00067C34" w:rsidRDefault="00BA3CD1">
            <w:pPr>
              <w:jc w:val="center"/>
              <w:rPr>
                <w:rFonts w:ascii="Arial" w:eastAsia="Arial" w:hAnsi="Arial" w:cs="Arial"/>
                <w:sz w:val="18"/>
                <w:szCs w:val="18"/>
              </w:rPr>
            </w:pPr>
            <w:r>
              <w:rPr>
                <w:rFonts w:ascii="Arial" w:eastAsia="Arial" w:hAnsi="Arial" w:cs="Arial"/>
                <w:sz w:val="18"/>
                <w:szCs w:val="18"/>
              </w:rPr>
              <w:t>31</w:t>
            </w:r>
          </w:p>
        </w:tc>
      </w:tr>
      <w:tr w:rsidR="00067C34" w14:paraId="095F97A7" w14:textId="77777777">
        <w:trPr>
          <w:trHeight w:val="216"/>
        </w:trPr>
        <w:tc>
          <w:tcPr>
            <w:tcW w:w="2331" w:type="dxa"/>
            <w:tcBorders>
              <w:top w:val="nil"/>
              <w:left w:val="single" w:sz="8" w:space="0" w:color="000000"/>
              <w:bottom w:val="single" w:sz="8" w:space="0" w:color="000000"/>
              <w:right w:val="single" w:sz="8" w:space="0" w:color="000000"/>
            </w:tcBorders>
            <w:shd w:val="clear" w:color="auto" w:fill="DCE6F1"/>
            <w:tcMar>
              <w:top w:w="100" w:type="dxa"/>
              <w:left w:w="100" w:type="dxa"/>
              <w:bottom w:w="100" w:type="dxa"/>
              <w:right w:w="100" w:type="dxa"/>
            </w:tcMar>
            <w:vAlign w:val="bottom"/>
          </w:tcPr>
          <w:p w14:paraId="2A4B905A" w14:textId="77777777" w:rsidR="00067C34" w:rsidRDefault="00BA3CD1">
            <w:pPr>
              <w:jc w:val="both"/>
              <w:rPr>
                <w:rFonts w:ascii="Arial" w:eastAsia="Arial" w:hAnsi="Arial" w:cs="Arial"/>
                <w:b/>
                <w:sz w:val="18"/>
                <w:szCs w:val="18"/>
              </w:rPr>
            </w:pPr>
            <w:r>
              <w:rPr>
                <w:rFonts w:ascii="Arial" w:eastAsia="Arial" w:hAnsi="Arial" w:cs="Arial"/>
                <w:b/>
                <w:sz w:val="18"/>
                <w:szCs w:val="18"/>
              </w:rPr>
              <w:t>Diferencia</w:t>
            </w:r>
          </w:p>
        </w:tc>
        <w:tc>
          <w:tcPr>
            <w:tcW w:w="1611" w:type="dxa"/>
            <w:tcBorders>
              <w:top w:val="nil"/>
              <w:left w:val="nil"/>
              <w:bottom w:val="single" w:sz="8" w:space="0" w:color="000000"/>
              <w:right w:val="single" w:sz="8" w:space="0" w:color="000000"/>
            </w:tcBorders>
            <w:shd w:val="clear" w:color="auto" w:fill="DCE6F1"/>
            <w:tcMar>
              <w:top w:w="100" w:type="dxa"/>
              <w:left w:w="100" w:type="dxa"/>
              <w:bottom w:w="100" w:type="dxa"/>
              <w:right w:w="100" w:type="dxa"/>
            </w:tcMar>
            <w:vAlign w:val="bottom"/>
          </w:tcPr>
          <w:p w14:paraId="2FED98C0" w14:textId="77777777" w:rsidR="00067C34" w:rsidRDefault="00BA3CD1">
            <w:pPr>
              <w:jc w:val="center"/>
              <w:rPr>
                <w:rFonts w:ascii="Arial" w:eastAsia="Arial" w:hAnsi="Arial" w:cs="Arial"/>
                <w:b/>
                <w:sz w:val="18"/>
                <w:szCs w:val="18"/>
              </w:rPr>
            </w:pPr>
            <w:r>
              <w:rPr>
                <w:rFonts w:ascii="Arial" w:eastAsia="Arial" w:hAnsi="Arial" w:cs="Arial"/>
                <w:b/>
                <w:sz w:val="18"/>
                <w:szCs w:val="18"/>
              </w:rPr>
              <w:t>23</w:t>
            </w:r>
          </w:p>
        </w:tc>
        <w:tc>
          <w:tcPr>
            <w:tcW w:w="1789" w:type="dxa"/>
            <w:tcBorders>
              <w:top w:val="nil"/>
              <w:left w:val="nil"/>
              <w:bottom w:val="single" w:sz="8" w:space="0" w:color="000000"/>
              <w:right w:val="single" w:sz="8" w:space="0" w:color="000000"/>
            </w:tcBorders>
            <w:shd w:val="clear" w:color="auto" w:fill="DCE6F1"/>
            <w:tcMar>
              <w:top w:w="100" w:type="dxa"/>
              <w:left w:w="100" w:type="dxa"/>
              <w:bottom w:w="100" w:type="dxa"/>
              <w:right w:w="100" w:type="dxa"/>
            </w:tcMar>
            <w:vAlign w:val="bottom"/>
          </w:tcPr>
          <w:p w14:paraId="4909BF3D" w14:textId="77777777" w:rsidR="00067C34" w:rsidRDefault="00BA3CD1">
            <w:pPr>
              <w:jc w:val="center"/>
              <w:rPr>
                <w:rFonts w:ascii="Arial" w:eastAsia="Arial" w:hAnsi="Arial" w:cs="Arial"/>
                <w:b/>
                <w:sz w:val="18"/>
                <w:szCs w:val="18"/>
              </w:rPr>
            </w:pPr>
            <w:r>
              <w:rPr>
                <w:rFonts w:ascii="Arial" w:eastAsia="Arial" w:hAnsi="Arial" w:cs="Arial"/>
                <w:b/>
                <w:sz w:val="18"/>
                <w:szCs w:val="18"/>
              </w:rPr>
              <w:t>3</w:t>
            </w:r>
          </w:p>
        </w:tc>
        <w:tc>
          <w:tcPr>
            <w:tcW w:w="1803" w:type="dxa"/>
            <w:tcBorders>
              <w:top w:val="nil"/>
              <w:left w:val="nil"/>
              <w:bottom w:val="single" w:sz="8" w:space="0" w:color="000000"/>
              <w:right w:val="single" w:sz="8" w:space="0" w:color="000000"/>
            </w:tcBorders>
            <w:shd w:val="clear" w:color="auto" w:fill="DCE6F1"/>
            <w:tcMar>
              <w:top w:w="100" w:type="dxa"/>
              <w:left w:w="100" w:type="dxa"/>
              <w:bottom w:w="100" w:type="dxa"/>
              <w:right w:w="100" w:type="dxa"/>
            </w:tcMar>
            <w:vAlign w:val="bottom"/>
          </w:tcPr>
          <w:p w14:paraId="15FA5790" w14:textId="77777777" w:rsidR="00067C34" w:rsidRDefault="00BA3CD1">
            <w:pPr>
              <w:jc w:val="center"/>
              <w:rPr>
                <w:rFonts w:ascii="Arial" w:eastAsia="Arial" w:hAnsi="Arial" w:cs="Arial"/>
                <w:b/>
                <w:sz w:val="18"/>
                <w:szCs w:val="18"/>
              </w:rPr>
            </w:pPr>
            <w:r>
              <w:rPr>
                <w:rFonts w:ascii="Arial" w:eastAsia="Arial" w:hAnsi="Arial" w:cs="Arial"/>
                <w:b/>
                <w:sz w:val="18"/>
                <w:szCs w:val="18"/>
              </w:rPr>
              <w:t>15</w:t>
            </w:r>
          </w:p>
        </w:tc>
        <w:tc>
          <w:tcPr>
            <w:tcW w:w="1744" w:type="dxa"/>
            <w:tcBorders>
              <w:top w:val="nil"/>
              <w:left w:val="nil"/>
              <w:bottom w:val="single" w:sz="8" w:space="0" w:color="000000"/>
              <w:right w:val="single" w:sz="8" w:space="0" w:color="000000"/>
            </w:tcBorders>
            <w:shd w:val="clear" w:color="auto" w:fill="DCE6F1"/>
            <w:tcMar>
              <w:top w:w="100" w:type="dxa"/>
              <w:left w:w="100" w:type="dxa"/>
              <w:bottom w:w="100" w:type="dxa"/>
              <w:right w:w="100" w:type="dxa"/>
            </w:tcMar>
            <w:vAlign w:val="bottom"/>
          </w:tcPr>
          <w:p w14:paraId="3FFDDEF8" w14:textId="77777777" w:rsidR="00067C34" w:rsidRDefault="00BA3CD1">
            <w:pPr>
              <w:jc w:val="center"/>
              <w:rPr>
                <w:rFonts w:ascii="Arial" w:eastAsia="Arial" w:hAnsi="Arial" w:cs="Arial"/>
                <w:b/>
                <w:sz w:val="18"/>
                <w:szCs w:val="18"/>
              </w:rPr>
            </w:pPr>
            <w:r>
              <w:rPr>
                <w:rFonts w:ascii="Arial" w:eastAsia="Arial" w:hAnsi="Arial" w:cs="Arial"/>
                <w:b/>
                <w:sz w:val="18"/>
                <w:szCs w:val="18"/>
              </w:rPr>
              <w:t>4</w:t>
            </w:r>
          </w:p>
        </w:tc>
      </w:tr>
    </w:tbl>
    <w:p w14:paraId="3349A70D" w14:textId="77777777" w:rsidR="00067C34" w:rsidRDefault="00BA3CD1">
      <w:pPr>
        <w:spacing w:before="200" w:after="240" w:line="360" w:lineRule="auto"/>
        <w:jc w:val="both"/>
        <w:rPr>
          <w:rFonts w:ascii="Arial" w:eastAsia="Arial" w:hAnsi="Arial" w:cs="Arial"/>
        </w:rPr>
      </w:pPr>
      <w:r>
        <w:rPr>
          <w:rFonts w:ascii="Arial" w:eastAsia="Arial" w:hAnsi="Arial" w:cs="Arial"/>
        </w:rPr>
        <w:t>Ellos son: 9 son de la administración pública central; 29 órganos desconcentrados; 9 alcaldías; 3 órganos autónomos; 4 partidos políticos, 2 del Poder Judicial y 1 sindicato.</w:t>
      </w:r>
    </w:p>
    <w:p w14:paraId="2B9A7F35" w14:textId="77777777" w:rsidR="00067C34" w:rsidRDefault="00BA3CD1">
      <w:pPr>
        <w:spacing w:before="200" w:after="240" w:line="360" w:lineRule="auto"/>
        <w:jc w:val="both"/>
        <w:rPr>
          <w:rFonts w:ascii="Arial" w:eastAsia="Arial" w:hAnsi="Arial" w:cs="Arial"/>
        </w:rPr>
      </w:pPr>
      <w:r>
        <w:rPr>
          <w:rFonts w:ascii="Arial" w:eastAsia="Arial" w:hAnsi="Arial" w:cs="Arial"/>
          <w:b/>
        </w:rPr>
        <w:t>Administración pública central 9</w:t>
      </w:r>
      <w:r>
        <w:rPr>
          <w:rFonts w:ascii="Arial" w:eastAsia="Arial" w:hAnsi="Arial" w:cs="Arial"/>
        </w:rPr>
        <w:t>: Comisión para la Reconstrucción de la Ciudad de México; Secretaría de Cultura; Secretaría de Desarrollo Económico; Secretaría de Desarrollo Urbano y Vivienda; Secretaría de Educación, Ciencia, Tecnología e Innovación; Secretaría de las Mujeres; Secretarí</w:t>
      </w:r>
      <w:r>
        <w:rPr>
          <w:rFonts w:ascii="Arial" w:eastAsia="Arial" w:hAnsi="Arial" w:cs="Arial"/>
        </w:rPr>
        <w:t>a de Obras y Servicios; Secretaría de Turismo y Secretaría del Medio Ambiente;</w:t>
      </w:r>
    </w:p>
    <w:p w14:paraId="610ED3CB" w14:textId="77777777" w:rsidR="00067C34" w:rsidRDefault="00BA3CD1">
      <w:pPr>
        <w:spacing w:before="200" w:after="240" w:line="360" w:lineRule="auto"/>
        <w:jc w:val="both"/>
        <w:rPr>
          <w:rFonts w:ascii="Arial" w:eastAsia="Arial" w:hAnsi="Arial" w:cs="Arial"/>
        </w:rPr>
      </w:pPr>
      <w:r>
        <w:rPr>
          <w:rFonts w:ascii="Arial" w:eastAsia="Arial" w:hAnsi="Arial" w:cs="Arial"/>
          <w:b/>
        </w:rPr>
        <w:t>Órganos desconcentrados 29</w:t>
      </w:r>
      <w:r>
        <w:rPr>
          <w:rFonts w:ascii="Arial" w:eastAsia="Arial" w:hAnsi="Arial" w:cs="Arial"/>
        </w:rPr>
        <w:t>: Fideicomiso Centro Histórico de la Ciudad de México; Fideicomiso de Recuperación Crediticia de la Ciudad de México; Fideicomiso Educación Garantizada</w:t>
      </w:r>
      <w:r>
        <w:rPr>
          <w:rFonts w:ascii="Arial" w:eastAsia="Arial" w:hAnsi="Arial" w:cs="Arial"/>
        </w:rPr>
        <w:t xml:space="preserve"> de la Ciudad de México; Fideicomiso Fondo para el Desarrollo Económico y Social de la Ciudad de México; Instituto de Vivienda de la Ciudad de México; Agencia de Atención Animal; Agencia Digital de Innovación Pública de la Ciudad de México; Autoridad del C</w:t>
      </w:r>
      <w:r>
        <w:rPr>
          <w:rFonts w:ascii="Arial" w:eastAsia="Arial" w:hAnsi="Arial" w:cs="Arial"/>
        </w:rPr>
        <w:t>entro Histórico; Caja de Previsión de la Policía Preventiva de la Ciudad de México; Consejo de Evaluación del Desarrollo Social de la Ciudad de México; Consejo para Prevenir y Eliminar la Discriminación en la Ciudad de México; Corporación Mexicana de Impre</w:t>
      </w:r>
      <w:r>
        <w:rPr>
          <w:rFonts w:ascii="Arial" w:eastAsia="Arial" w:hAnsi="Arial" w:cs="Arial"/>
        </w:rPr>
        <w:t>sión, S.A. de C.V.; Instituto de Capacitación para el Trabajo de la Ciudad de México; Instituto de Educación Media Superior de la Ciudad de México; Instituto del Deporte de la Ciudad de México; Instituto de las Personas con Discapacidad de la Ciudad de Méx</w:t>
      </w:r>
      <w:r>
        <w:rPr>
          <w:rFonts w:ascii="Arial" w:eastAsia="Arial" w:hAnsi="Arial" w:cs="Arial"/>
        </w:rPr>
        <w:t>ico; Instituto Local de la Infraestructura Física Educativa de la Ciudad de México; Instituto para la Atención y Prevención de las Adicciones en la Ciudad de México; Junta de Asistencia Privada de la Ciudad de México; Metrobús; Órgano Regulador de Transpor</w:t>
      </w:r>
      <w:r>
        <w:rPr>
          <w:rFonts w:ascii="Arial" w:eastAsia="Arial" w:hAnsi="Arial" w:cs="Arial"/>
        </w:rPr>
        <w:t xml:space="preserve">te; Policía Auxiliar; Policía Bancaria e Industrial; Procuraduría Ambiental y del Ordenamiento Territorial de la Ciudad de México; Servicios de Salud Pública de la Ciudad de México; Sistema de Aguas de la Ciudad de México; Sistema de Transporte Colectivo; </w:t>
      </w:r>
      <w:r>
        <w:rPr>
          <w:rFonts w:ascii="Arial" w:eastAsia="Arial" w:hAnsi="Arial" w:cs="Arial"/>
        </w:rPr>
        <w:t>Sistema para el Desarrollo Integral de la Familia de la Ciudad de México y Universidad de la Policía de la Ciudad de México.</w:t>
      </w:r>
    </w:p>
    <w:p w14:paraId="10DFEDCA" w14:textId="77777777" w:rsidR="00067C34" w:rsidRDefault="00BA3CD1">
      <w:pPr>
        <w:spacing w:before="200" w:after="240" w:line="360" w:lineRule="auto"/>
        <w:jc w:val="both"/>
        <w:rPr>
          <w:rFonts w:ascii="Arial" w:eastAsia="Arial" w:hAnsi="Arial" w:cs="Arial"/>
        </w:rPr>
      </w:pPr>
      <w:r>
        <w:rPr>
          <w:rFonts w:ascii="Arial" w:eastAsia="Arial" w:hAnsi="Arial" w:cs="Arial"/>
          <w:b/>
        </w:rPr>
        <w:t>Alcaldías 9</w:t>
      </w:r>
      <w:r>
        <w:rPr>
          <w:rFonts w:ascii="Arial" w:eastAsia="Arial" w:hAnsi="Arial" w:cs="Arial"/>
        </w:rPr>
        <w:t>: Milpa Alta; Tlalpan; Venustiano Carranza; Xochimilco; Benito Juárez; Gustavo A. Madero; Iztacalco; Iztapalapa y Miguel</w:t>
      </w:r>
      <w:r>
        <w:rPr>
          <w:rFonts w:ascii="Arial" w:eastAsia="Arial" w:hAnsi="Arial" w:cs="Arial"/>
        </w:rPr>
        <w:t xml:space="preserve"> Hidalgo.</w:t>
      </w:r>
    </w:p>
    <w:p w14:paraId="79B20617" w14:textId="77777777" w:rsidR="00067C34" w:rsidRDefault="00BA3CD1">
      <w:pPr>
        <w:spacing w:before="200" w:after="240" w:line="360" w:lineRule="auto"/>
        <w:jc w:val="both"/>
        <w:rPr>
          <w:rFonts w:ascii="Arial" w:eastAsia="Arial" w:hAnsi="Arial" w:cs="Arial"/>
        </w:rPr>
      </w:pPr>
      <w:r>
        <w:rPr>
          <w:rFonts w:ascii="Arial" w:eastAsia="Arial" w:hAnsi="Arial" w:cs="Arial"/>
          <w:b/>
        </w:rPr>
        <w:t>Órganos autónomos 3</w:t>
      </w:r>
      <w:r>
        <w:rPr>
          <w:rFonts w:ascii="Arial" w:eastAsia="Arial" w:hAnsi="Arial" w:cs="Arial"/>
        </w:rPr>
        <w:t>: Comisión de Derechos Humanos de la Ciudad de México; Junta Local de Conciliación y Arbitraje de la Ciudad de México y Tribunal Electoral de la Ciudad de México.</w:t>
      </w:r>
    </w:p>
    <w:p w14:paraId="3DA0AAE6" w14:textId="77777777" w:rsidR="00067C34" w:rsidRDefault="00BA3CD1">
      <w:pPr>
        <w:spacing w:before="200" w:after="240" w:line="360" w:lineRule="auto"/>
        <w:jc w:val="both"/>
        <w:rPr>
          <w:rFonts w:ascii="Arial" w:eastAsia="Arial" w:hAnsi="Arial" w:cs="Arial"/>
        </w:rPr>
      </w:pPr>
      <w:r>
        <w:rPr>
          <w:rFonts w:ascii="Arial" w:eastAsia="Arial" w:hAnsi="Arial" w:cs="Arial"/>
          <w:b/>
        </w:rPr>
        <w:t>Partidos políticos 4</w:t>
      </w:r>
      <w:r>
        <w:rPr>
          <w:rFonts w:ascii="Arial" w:eastAsia="Arial" w:hAnsi="Arial" w:cs="Arial"/>
        </w:rPr>
        <w:t>: Movimiento Ciudadano; Partido del Trabajo;</w:t>
      </w:r>
      <w:r>
        <w:rPr>
          <w:rFonts w:ascii="Arial" w:eastAsia="Arial" w:hAnsi="Arial" w:cs="Arial"/>
        </w:rPr>
        <w:t xml:space="preserve"> Partido Revolucionario Institucional y Partido Verde Ecologista de México.</w:t>
      </w:r>
    </w:p>
    <w:p w14:paraId="57C90DD9" w14:textId="77777777" w:rsidR="00067C34" w:rsidRDefault="00BA3CD1">
      <w:pPr>
        <w:spacing w:before="200" w:after="240" w:line="360" w:lineRule="auto"/>
        <w:jc w:val="both"/>
        <w:rPr>
          <w:rFonts w:ascii="Arial" w:eastAsia="Arial" w:hAnsi="Arial" w:cs="Arial"/>
        </w:rPr>
      </w:pPr>
      <w:r>
        <w:rPr>
          <w:rFonts w:ascii="Arial" w:eastAsia="Arial" w:hAnsi="Arial" w:cs="Arial"/>
          <w:b/>
        </w:rPr>
        <w:t>Poder Judicial 2</w:t>
      </w:r>
      <w:r>
        <w:rPr>
          <w:rFonts w:ascii="Arial" w:eastAsia="Arial" w:hAnsi="Arial" w:cs="Arial"/>
        </w:rPr>
        <w:t xml:space="preserve">: Consejo de la Judicatura de la Ciudad de México y el Tribunal Superior de Justicia de la Ciudad de México.  </w:t>
      </w:r>
    </w:p>
    <w:p w14:paraId="572524EF" w14:textId="77777777" w:rsidR="00067C34" w:rsidRDefault="00BA3CD1">
      <w:pPr>
        <w:spacing w:before="200" w:after="240" w:line="360" w:lineRule="auto"/>
        <w:jc w:val="both"/>
        <w:rPr>
          <w:rFonts w:ascii="Arial" w:eastAsia="Arial" w:hAnsi="Arial" w:cs="Arial"/>
        </w:rPr>
      </w:pPr>
      <w:r>
        <w:rPr>
          <w:rFonts w:ascii="Arial" w:eastAsia="Arial" w:hAnsi="Arial" w:cs="Arial"/>
          <w:b/>
        </w:rPr>
        <w:t>Sindicato 1</w:t>
      </w:r>
      <w:r>
        <w:rPr>
          <w:rFonts w:ascii="Arial" w:eastAsia="Arial" w:hAnsi="Arial" w:cs="Arial"/>
        </w:rPr>
        <w:t xml:space="preserve">: Sindicato Independiente de Trabajadores </w:t>
      </w:r>
      <w:r>
        <w:rPr>
          <w:rFonts w:ascii="Arial" w:eastAsia="Arial" w:hAnsi="Arial" w:cs="Arial"/>
        </w:rPr>
        <w:t>del Instituto de Educación Media Superior del Distrito Federal.</w:t>
      </w:r>
    </w:p>
    <w:p w14:paraId="4706BC44" w14:textId="77777777" w:rsidR="00067C34" w:rsidRDefault="00BA3CD1">
      <w:pPr>
        <w:spacing w:before="240" w:after="240" w:line="360" w:lineRule="auto"/>
        <w:jc w:val="both"/>
        <w:rPr>
          <w:rFonts w:ascii="Arial" w:eastAsia="Arial" w:hAnsi="Arial" w:cs="Arial"/>
        </w:rPr>
      </w:pPr>
      <w:r>
        <w:rPr>
          <w:noProof/>
        </w:rPr>
        <w:drawing>
          <wp:inline distT="0" distB="0" distL="0" distR="0" wp14:anchorId="1FC006FA" wp14:editId="24D867F5">
            <wp:extent cx="5760000" cy="3960000"/>
            <wp:effectExtent l="0" t="0" r="0" b="0"/>
            <wp:docPr id="1277849400" name="Gráfico 1277849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715591" w14:textId="77777777" w:rsidR="00067C34" w:rsidRDefault="00BA3CD1">
      <w:pPr>
        <w:spacing w:before="240" w:after="240" w:line="360" w:lineRule="auto"/>
        <w:jc w:val="both"/>
        <w:rPr>
          <w:rFonts w:ascii="Arial" w:eastAsia="Arial" w:hAnsi="Arial" w:cs="Arial"/>
        </w:rPr>
      </w:pPr>
      <w:r>
        <w:rPr>
          <w:rFonts w:ascii="Arial" w:eastAsia="Arial" w:hAnsi="Arial" w:cs="Arial"/>
        </w:rPr>
        <w:t xml:space="preserve">En contraste hay 31 sujetos obligados que representan el 26% de los 119 verificados en esta evaluación con un </w:t>
      </w:r>
      <w:r>
        <w:rPr>
          <w:rFonts w:ascii="Arial" w:eastAsia="Arial" w:hAnsi="Arial" w:cs="Arial"/>
          <w:b/>
        </w:rPr>
        <w:t>incumplimiento total</w:t>
      </w:r>
      <w:r>
        <w:rPr>
          <w:rFonts w:ascii="Arial" w:eastAsia="Arial" w:hAnsi="Arial" w:cs="Arial"/>
        </w:rPr>
        <w:t xml:space="preserve"> (igual a 0) en la obligación que establece la ley referente</w:t>
      </w:r>
      <w:r>
        <w:rPr>
          <w:rFonts w:ascii="Arial" w:eastAsia="Arial" w:hAnsi="Arial" w:cs="Arial"/>
        </w:rPr>
        <w:t xml:space="preserve"> a publicar los procesos de contratación, nos referimos a: </w:t>
      </w:r>
    </w:p>
    <w:p w14:paraId="5EEC85D9" w14:textId="77777777" w:rsidR="00067C34" w:rsidRDefault="00BA3CD1">
      <w:pPr>
        <w:spacing w:before="200" w:after="200" w:line="360" w:lineRule="auto"/>
        <w:jc w:val="both"/>
        <w:rPr>
          <w:rFonts w:ascii="Arial" w:eastAsia="Arial" w:hAnsi="Arial" w:cs="Arial"/>
          <w:color w:val="000000"/>
        </w:rPr>
      </w:pPr>
      <w:r>
        <w:rPr>
          <w:rFonts w:ascii="Arial" w:eastAsia="Arial" w:hAnsi="Arial" w:cs="Arial"/>
          <w:b/>
        </w:rPr>
        <w:t>10 órganos desconcentrados, descentralizados, fondos y fideicomisos</w:t>
      </w:r>
      <w:r>
        <w:rPr>
          <w:rFonts w:ascii="Arial" w:eastAsia="Arial" w:hAnsi="Arial" w:cs="Arial"/>
        </w:rPr>
        <w:t xml:space="preserve">: </w:t>
      </w:r>
      <w:r>
        <w:rPr>
          <w:rFonts w:ascii="Arial" w:eastAsia="Arial" w:hAnsi="Arial" w:cs="Arial"/>
          <w:color w:val="000000"/>
        </w:rPr>
        <w:t>Fideicomiso para el Fondo de Promoción para el Financiamiento del Transporte Público; Fideicomiso Público Complejo Ambiental Xochimilco</w:t>
      </w:r>
      <w:r>
        <w:rPr>
          <w:rFonts w:ascii="Arial" w:eastAsia="Arial" w:hAnsi="Arial" w:cs="Arial"/>
        </w:rPr>
        <w:t xml:space="preserve">; </w:t>
      </w:r>
      <w:r>
        <w:rPr>
          <w:rFonts w:ascii="Arial" w:eastAsia="Arial" w:hAnsi="Arial" w:cs="Arial"/>
          <w:color w:val="000000"/>
        </w:rPr>
        <w:t>Fideicomiso Público del Fondo de Apoyo a la Procuración de Justicia de la Ciudad de México; Fondo Público de Atención a</w:t>
      </w:r>
      <w:r>
        <w:rPr>
          <w:rFonts w:ascii="Arial" w:eastAsia="Arial" w:hAnsi="Arial" w:cs="Arial"/>
          <w:color w:val="000000"/>
        </w:rPr>
        <w:t>l Ciclista y al Peatón</w:t>
      </w:r>
      <w:r>
        <w:rPr>
          <w:rFonts w:ascii="Arial" w:eastAsia="Arial" w:hAnsi="Arial" w:cs="Arial"/>
        </w:rPr>
        <w:t xml:space="preserve">; </w:t>
      </w:r>
      <w:r>
        <w:rPr>
          <w:rFonts w:ascii="Arial" w:eastAsia="Arial" w:hAnsi="Arial" w:cs="Arial"/>
          <w:color w:val="000000"/>
        </w:rPr>
        <w:t>Comisión de Filmaciones de la Ciudad de México</w:t>
      </w:r>
      <w:r>
        <w:rPr>
          <w:rFonts w:ascii="Arial" w:eastAsia="Arial" w:hAnsi="Arial" w:cs="Arial"/>
        </w:rPr>
        <w:t xml:space="preserve">; </w:t>
      </w:r>
      <w:r>
        <w:rPr>
          <w:rFonts w:ascii="Arial" w:eastAsia="Arial" w:hAnsi="Arial" w:cs="Arial"/>
          <w:color w:val="000000"/>
        </w:rPr>
        <w:t>Consejo Económico y Social de la Ciudad de México</w:t>
      </w:r>
      <w:r>
        <w:rPr>
          <w:rFonts w:ascii="Arial" w:eastAsia="Arial" w:hAnsi="Arial" w:cs="Arial"/>
        </w:rPr>
        <w:t xml:space="preserve">; </w:t>
      </w:r>
      <w:r>
        <w:rPr>
          <w:rFonts w:ascii="Arial" w:eastAsia="Arial" w:hAnsi="Arial" w:cs="Arial"/>
          <w:color w:val="000000"/>
        </w:rPr>
        <w:t>Fondo Ambiental Público de la Ciudad de México</w:t>
      </w:r>
      <w:r>
        <w:rPr>
          <w:rFonts w:ascii="Arial" w:eastAsia="Arial" w:hAnsi="Arial" w:cs="Arial"/>
        </w:rPr>
        <w:t xml:space="preserve">; </w:t>
      </w:r>
      <w:r>
        <w:rPr>
          <w:rFonts w:ascii="Arial" w:eastAsia="Arial" w:hAnsi="Arial" w:cs="Arial"/>
          <w:color w:val="000000"/>
        </w:rPr>
        <w:t>Fondo para la Atención y Apoyo a las Víctimas del Delito</w:t>
      </w:r>
      <w:r>
        <w:rPr>
          <w:rFonts w:ascii="Arial" w:eastAsia="Arial" w:hAnsi="Arial" w:cs="Arial"/>
        </w:rPr>
        <w:t xml:space="preserve">; </w:t>
      </w:r>
      <w:r>
        <w:rPr>
          <w:rFonts w:ascii="Arial" w:eastAsia="Arial" w:hAnsi="Arial" w:cs="Arial"/>
          <w:color w:val="000000"/>
        </w:rPr>
        <w:t>Instituto de Formación Prof</w:t>
      </w:r>
      <w:r>
        <w:rPr>
          <w:rFonts w:ascii="Arial" w:eastAsia="Arial" w:hAnsi="Arial" w:cs="Arial"/>
          <w:color w:val="000000"/>
        </w:rPr>
        <w:t>esional</w:t>
      </w:r>
      <w:r>
        <w:rPr>
          <w:rFonts w:ascii="Arial" w:eastAsia="Arial" w:hAnsi="Arial" w:cs="Arial"/>
        </w:rPr>
        <w:t xml:space="preserve"> y el </w:t>
      </w:r>
      <w:r>
        <w:rPr>
          <w:rFonts w:ascii="Arial" w:eastAsia="Arial" w:hAnsi="Arial" w:cs="Arial"/>
          <w:color w:val="000000"/>
        </w:rPr>
        <w:t>Instituto para la Seguridad de las Construcciones en la Ciudad de México.</w:t>
      </w:r>
    </w:p>
    <w:p w14:paraId="32D7BE6F" w14:textId="77777777" w:rsidR="00067C34" w:rsidRDefault="00BA3CD1">
      <w:pPr>
        <w:spacing w:before="200" w:after="200" w:line="360" w:lineRule="auto"/>
        <w:jc w:val="both"/>
        <w:rPr>
          <w:rFonts w:ascii="Arial" w:eastAsia="Arial" w:hAnsi="Arial" w:cs="Arial"/>
          <w:color w:val="000000"/>
        </w:rPr>
      </w:pPr>
      <w:r>
        <w:rPr>
          <w:rFonts w:ascii="Arial" w:eastAsia="Arial" w:hAnsi="Arial" w:cs="Arial"/>
          <w:b/>
        </w:rPr>
        <w:t>Un órgano autónomo</w:t>
      </w:r>
      <w:r>
        <w:rPr>
          <w:rFonts w:ascii="Arial" w:eastAsia="Arial" w:hAnsi="Arial" w:cs="Arial"/>
        </w:rPr>
        <w:t xml:space="preserve">: la </w:t>
      </w:r>
      <w:r>
        <w:rPr>
          <w:rFonts w:ascii="Arial" w:eastAsia="Arial" w:hAnsi="Arial" w:cs="Arial"/>
          <w:color w:val="000000"/>
        </w:rPr>
        <w:t>Universidad Autónoma de la Ciudad de México.</w:t>
      </w:r>
    </w:p>
    <w:p w14:paraId="19B171AF" w14:textId="77777777" w:rsidR="00067C34" w:rsidRDefault="00BA3CD1">
      <w:pPr>
        <w:spacing w:before="200" w:after="200" w:line="360" w:lineRule="auto"/>
        <w:jc w:val="both"/>
        <w:rPr>
          <w:rFonts w:ascii="Arial" w:eastAsia="Arial" w:hAnsi="Arial" w:cs="Arial"/>
          <w:color w:val="000000"/>
        </w:rPr>
      </w:pPr>
      <w:r>
        <w:rPr>
          <w:rFonts w:ascii="Arial" w:eastAsia="Arial" w:hAnsi="Arial" w:cs="Arial"/>
          <w:b/>
        </w:rPr>
        <w:t xml:space="preserve">Cinco partidos políticos: </w:t>
      </w:r>
      <w:r>
        <w:rPr>
          <w:rFonts w:ascii="Arial" w:eastAsia="Arial" w:hAnsi="Arial" w:cs="Arial"/>
          <w:color w:val="000000"/>
        </w:rPr>
        <w:t>Encuentro Social</w:t>
      </w:r>
      <w:r>
        <w:rPr>
          <w:rFonts w:ascii="Arial" w:eastAsia="Arial" w:hAnsi="Arial" w:cs="Arial"/>
        </w:rPr>
        <w:t xml:space="preserve">; </w:t>
      </w:r>
      <w:r>
        <w:rPr>
          <w:rFonts w:ascii="Arial" w:eastAsia="Arial" w:hAnsi="Arial" w:cs="Arial"/>
          <w:color w:val="000000"/>
        </w:rPr>
        <w:t>MORENA; Nueva Alianza</w:t>
      </w:r>
      <w:r>
        <w:rPr>
          <w:rFonts w:ascii="Arial" w:eastAsia="Arial" w:hAnsi="Arial" w:cs="Arial"/>
        </w:rPr>
        <w:t xml:space="preserve">; </w:t>
      </w:r>
      <w:r>
        <w:rPr>
          <w:rFonts w:ascii="Arial" w:eastAsia="Arial" w:hAnsi="Arial" w:cs="Arial"/>
          <w:color w:val="000000"/>
        </w:rPr>
        <w:t>Partido de la Revolución Democráti</w:t>
      </w:r>
      <w:r>
        <w:rPr>
          <w:rFonts w:ascii="Arial" w:eastAsia="Arial" w:hAnsi="Arial" w:cs="Arial"/>
          <w:color w:val="000000"/>
        </w:rPr>
        <w:t>ca</w:t>
      </w:r>
      <w:r>
        <w:rPr>
          <w:rFonts w:ascii="Arial" w:eastAsia="Arial" w:hAnsi="Arial" w:cs="Arial"/>
        </w:rPr>
        <w:t xml:space="preserve"> y el </w:t>
      </w:r>
      <w:r>
        <w:rPr>
          <w:rFonts w:ascii="Arial" w:eastAsia="Arial" w:hAnsi="Arial" w:cs="Arial"/>
          <w:color w:val="000000"/>
        </w:rPr>
        <w:t>Partido Humanista.</w:t>
      </w:r>
    </w:p>
    <w:p w14:paraId="4762F362" w14:textId="77777777" w:rsidR="00067C34" w:rsidRDefault="00BA3CD1">
      <w:pPr>
        <w:spacing w:before="200" w:after="200" w:line="360" w:lineRule="auto"/>
        <w:jc w:val="both"/>
        <w:rPr>
          <w:rFonts w:ascii="Arial" w:eastAsia="Arial" w:hAnsi="Arial" w:cs="Arial"/>
        </w:rPr>
      </w:pPr>
      <w:r>
        <w:rPr>
          <w:rFonts w:ascii="Arial" w:eastAsia="Arial" w:hAnsi="Arial" w:cs="Arial"/>
          <w:b/>
          <w:sz w:val="26"/>
          <w:szCs w:val="26"/>
        </w:rPr>
        <w:t xml:space="preserve">15 sindicatos: </w:t>
      </w:r>
      <w:r>
        <w:rPr>
          <w:rFonts w:ascii="Arial" w:eastAsia="Arial" w:hAnsi="Arial" w:cs="Arial"/>
          <w:color w:val="000000"/>
        </w:rPr>
        <w:t>Alianza de Tranviarios de México</w:t>
      </w:r>
      <w:r>
        <w:rPr>
          <w:rFonts w:ascii="Arial" w:eastAsia="Arial" w:hAnsi="Arial" w:cs="Arial"/>
        </w:rPr>
        <w:t xml:space="preserve">; </w:t>
      </w:r>
      <w:r>
        <w:rPr>
          <w:rFonts w:ascii="Arial" w:eastAsia="Arial" w:hAnsi="Arial" w:cs="Arial"/>
          <w:color w:val="000000"/>
        </w:rPr>
        <w:t>Asociación Sindical de Trabajadores del Instituto de Vivienda del Distrito Federal</w:t>
      </w:r>
      <w:r>
        <w:rPr>
          <w:rFonts w:ascii="Arial" w:eastAsia="Arial" w:hAnsi="Arial" w:cs="Arial"/>
        </w:rPr>
        <w:t xml:space="preserve">; </w:t>
      </w:r>
      <w:r>
        <w:rPr>
          <w:rFonts w:ascii="Arial" w:eastAsia="Arial" w:hAnsi="Arial" w:cs="Arial"/>
          <w:color w:val="000000"/>
        </w:rPr>
        <w:t>Sindicato Auténtico de Trabajadores de la Asamblea Legislativa del Distrito Federal</w:t>
      </w:r>
      <w:r>
        <w:rPr>
          <w:rFonts w:ascii="Arial" w:eastAsia="Arial" w:hAnsi="Arial" w:cs="Arial"/>
        </w:rPr>
        <w:t xml:space="preserve">; </w:t>
      </w:r>
      <w:r>
        <w:rPr>
          <w:rFonts w:ascii="Arial" w:eastAsia="Arial" w:hAnsi="Arial" w:cs="Arial"/>
          <w:color w:val="000000"/>
        </w:rPr>
        <w:t>Sindicato de Empleados del Servicio de Anales de Jurisprudencia</w:t>
      </w:r>
      <w:r>
        <w:rPr>
          <w:rFonts w:ascii="Arial" w:eastAsia="Arial" w:hAnsi="Arial" w:cs="Arial"/>
        </w:rPr>
        <w:t xml:space="preserve">; </w:t>
      </w:r>
      <w:r>
        <w:rPr>
          <w:rFonts w:ascii="Arial" w:eastAsia="Arial" w:hAnsi="Arial" w:cs="Arial"/>
          <w:color w:val="000000"/>
        </w:rPr>
        <w:t>Sindicato de la Unión de Trabajadores del Instituto de Educación Media Superior del Distrito Federal</w:t>
      </w:r>
      <w:r>
        <w:rPr>
          <w:rFonts w:ascii="Arial" w:eastAsia="Arial" w:hAnsi="Arial" w:cs="Arial"/>
        </w:rPr>
        <w:t xml:space="preserve">; </w:t>
      </w:r>
      <w:r>
        <w:rPr>
          <w:rFonts w:ascii="Arial" w:eastAsia="Arial" w:hAnsi="Arial" w:cs="Arial"/>
          <w:color w:val="000000"/>
        </w:rPr>
        <w:t>Sindicato de Trabajadores de la Asamblea Legislativa del Distrito Federal</w:t>
      </w:r>
      <w:r>
        <w:rPr>
          <w:rFonts w:ascii="Arial" w:eastAsia="Arial" w:hAnsi="Arial" w:cs="Arial"/>
        </w:rPr>
        <w:t xml:space="preserve">; </w:t>
      </w:r>
      <w:r>
        <w:rPr>
          <w:rFonts w:ascii="Arial" w:eastAsia="Arial" w:hAnsi="Arial" w:cs="Arial"/>
          <w:color w:val="000000"/>
        </w:rPr>
        <w:t>Sindicato de T</w:t>
      </w:r>
      <w:r>
        <w:rPr>
          <w:rFonts w:ascii="Arial" w:eastAsia="Arial" w:hAnsi="Arial" w:cs="Arial"/>
          <w:color w:val="000000"/>
        </w:rPr>
        <w:t>rabajadores de la Auditoría Superior de la Ciudad de México</w:t>
      </w:r>
      <w:r>
        <w:rPr>
          <w:rFonts w:ascii="Arial" w:eastAsia="Arial" w:hAnsi="Arial" w:cs="Arial"/>
        </w:rPr>
        <w:t xml:space="preserve">; </w:t>
      </w:r>
      <w:r>
        <w:rPr>
          <w:rFonts w:ascii="Arial" w:eastAsia="Arial" w:hAnsi="Arial" w:cs="Arial"/>
          <w:color w:val="000000"/>
        </w:rPr>
        <w:t>Sindicato de Trabajadores de Transporte de Pasajeros del Distrito Federal</w:t>
      </w:r>
      <w:r>
        <w:rPr>
          <w:rFonts w:ascii="Arial" w:eastAsia="Arial" w:hAnsi="Arial" w:cs="Arial"/>
        </w:rPr>
        <w:t xml:space="preserve">; </w:t>
      </w:r>
      <w:r>
        <w:rPr>
          <w:rFonts w:ascii="Arial" w:eastAsia="Arial" w:hAnsi="Arial" w:cs="Arial"/>
          <w:color w:val="000000"/>
        </w:rPr>
        <w:t>Sindicato de Trabajadores del Tribunal Superior de Justicia del Distrito Federal</w:t>
      </w:r>
      <w:r>
        <w:rPr>
          <w:rFonts w:ascii="Arial" w:eastAsia="Arial" w:hAnsi="Arial" w:cs="Arial"/>
        </w:rPr>
        <w:t xml:space="preserve">; </w:t>
      </w:r>
      <w:r>
        <w:rPr>
          <w:rFonts w:ascii="Arial" w:eastAsia="Arial" w:hAnsi="Arial" w:cs="Arial"/>
          <w:color w:val="000000"/>
        </w:rPr>
        <w:t>Sindicato del Heroico Cuerpo de Bomber</w:t>
      </w:r>
      <w:r>
        <w:rPr>
          <w:rFonts w:ascii="Arial" w:eastAsia="Arial" w:hAnsi="Arial" w:cs="Arial"/>
          <w:color w:val="000000"/>
        </w:rPr>
        <w:t>os del Distrito Federal</w:t>
      </w:r>
      <w:r>
        <w:rPr>
          <w:rFonts w:ascii="Arial" w:eastAsia="Arial" w:hAnsi="Arial" w:cs="Arial"/>
        </w:rPr>
        <w:t xml:space="preserve">; </w:t>
      </w:r>
      <w:r>
        <w:rPr>
          <w:rFonts w:ascii="Arial" w:eastAsia="Arial" w:hAnsi="Arial" w:cs="Arial"/>
          <w:color w:val="000000"/>
        </w:rPr>
        <w:t>Sindicato Democrático de los Trabajadores de la Procuraduría Social del Distrito Federal;  Sindicato Democrático Independiente de Trabajadores del Sistema de Transporte Colectivo; Sindicato Independiente de Trabajadores Unidos de l</w:t>
      </w:r>
      <w:r>
        <w:rPr>
          <w:rFonts w:ascii="Arial" w:eastAsia="Arial" w:hAnsi="Arial" w:cs="Arial"/>
          <w:color w:val="000000"/>
        </w:rPr>
        <w:t xml:space="preserve">a Asamblea Legislativa del Distrito Federal; Sindicato Único de Trabajadores de la Universidad Autónoma de la Ciudad de México y </w:t>
      </w:r>
      <w:r>
        <w:rPr>
          <w:rFonts w:ascii="Arial" w:eastAsia="Arial" w:hAnsi="Arial" w:cs="Arial"/>
        </w:rPr>
        <w:t xml:space="preserve">el </w:t>
      </w:r>
      <w:r>
        <w:rPr>
          <w:rFonts w:ascii="Arial" w:eastAsia="Arial" w:hAnsi="Arial" w:cs="Arial"/>
          <w:color w:val="000000"/>
        </w:rPr>
        <w:t>Sindicato Único de Trabajadores Democráticos del Sistema de Transporte Colectivo.</w:t>
      </w:r>
    </w:p>
    <w:p w14:paraId="3A1FC1E8" w14:textId="77777777" w:rsidR="00067C34" w:rsidRDefault="00BA3CD1">
      <w:pPr>
        <w:spacing w:after="240" w:line="360" w:lineRule="auto"/>
        <w:jc w:val="both"/>
        <w:rPr>
          <w:rFonts w:ascii="Arial" w:eastAsia="Arial" w:hAnsi="Arial" w:cs="Arial"/>
        </w:rPr>
      </w:pPr>
      <w:r>
        <w:rPr>
          <w:rFonts w:ascii="Arial" w:eastAsia="Arial" w:hAnsi="Arial" w:cs="Arial"/>
        </w:rPr>
        <w:t>Con los datos antes referidos se aprecia q</w:t>
      </w:r>
      <w:r>
        <w:rPr>
          <w:rFonts w:ascii="Arial" w:eastAsia="Arial" w:hAnsi="Arial" w:cs="Arial"/>
        </w:rPr>
        <w:t>ue, hubo mejoras entre la Segunda Evaluación y esta Evaluación de Solventación; no obstante, lo anterior, aún persisten áreas de oportunidad en la publicación de la información relativa las contrataciones, que reviste importancia por ser uno de los temas q</w:t>
      </w:r>
      <w:r>
        <w:rPr>
          <w:rFonts w:ascii="Arial" w:eastAsia="Arial" w:hAnsi="Arial" w:cs="Arial"/>
        </w:rPr>
        <w:t xml:space="preserve">ue con mayor frecuencia consultan las personas tanto en los portales institucionales como en la Plataforma Nacional de Transparencia. </w:t>
      </w:r>
    </w:p>
    <w:p w14:paraId="6F5EA9CF" w14:textId="77777777" w:rsidR="00067C34" w:rsidRDefault="00BA3CD1">
      <w:pPr>
        <w:spacing w:after="240" w:line="360" w:lineRule="auto"/>
        <w:jc w:val="both"/>
        <w:rPr>
          <w:rFonts w:ascii="Arial" w:eastAsia="Arial" w:hAnsi="Arial" w:cs="Arial"/>
        </w:rPr>
      </w:pPr>
      <w:r>
        <w:rPr>
          <w:rFonts w:ascii="Arial" w:eastAsia="Arial" w:hAnsi="Arial" w:cs="Arial"/>
        </w:rPr>
        <w:t xml:space="preserve">Por ello, y en  por lo cual se intensificará la estrategia de acompañamiento a los sujetos obligados través de asesorías </w:t>
      </w:r>
      <w:r>
        <w:rPr>
          <w:rFonts w:ascii="Arial" w:eastAsia="Arial" w:hAnsi="Arial" w:cs="Arial"/>
        </w:rPr>
        <w:t>técnicas que les permita, por un lado, dar cumplimiento a estas obligaciones mínimas marcadas en la normatividad en materia de transparencia; y, por otro lado, mejorar diversos aspectos encaminados hacia la apertura institucional en la información como son</w:t>
      </w:r>
      <w:r>
        <w:rPr>
          <w:rFonts w:ascii="Arial" w:eastAsia="Arial" w:hAnsi="Arial" w:cs="Arial"/>
        </w:rPr>
        <w:t xml:space="preserve">: la accesibilidad, el lenguaje sencillo, bases abiertas, la oportunidad en uno de los temas que despierta gran interés entre las personas. </w:t>
      </w:r>
    </w:p>
    <w:p w14:paraId="1DA563CF" w14:textId="77777777" w:rsidR="00067C34" w:rsidRDefault="00BA3CD1">
      <w:pPr>
        <w:spacing w:after="160" w:line="259" w:lineRule="auto"/>
        <w:rPr>
          <w:rFonts w:ascii="Arial" w:eastAsia="Arial" w:hAnsi="Arial" w:cs="Arial"/>
          <w:b/>
        </w:rPr>
      </w:pPr>
      <w:r>
        <w:br w:type="page"/>
      </w:r>
    </w:p>
    <w:p w14:paraId="6CF2CE8B" w14:textId="77777777" w:rsidR="00067C34" w:rsidRDefault="00BA3CD1">
      <w:pPr>
        <w:pStyle w:val="Ttulo1"/>
        <w:rPr>
          <w:rFonts w:ascii="Arial" w:eastAsia="Arial" w:hAnsi="Arial" w:cs="Arial"/>
          <w:b/>
          <w:color w:val="000000"/>
          <w:sz w:val="24"/>
          <w:szCs w:val="24"/>
        </w:rPr>
      </w:pPr>
      <w:bookmarkStart w:id="27" w:name="_heading=h.37m2jsg" w:colFirst="0" w:colLast="0"/>
      <w:bookmarkEnd w:id="27"/>
      <w:r>
        <w:rPr>
          <w:rFonts w:ascii="Arial" w:eastAsia="Arial" w:hAnsi="Arial" w:cs="Arial"/>
          <w:b/>
          <w:color w:val="000000"/>
          <w:sz w:val="24"/>
          <w:szCs w:val="24"/>
        </w:rPr>
        <w:t xml:space="preserve">CONCLUSIONES Y RECOMENDACIONES </w:t>
      </w:r>
    </w:p>
    <w:p w14:paraId="39EA9C3D" w14:textId="77777777" w:rsidR="00067C34" w:rsidRDefault="00067C34">
      <w:pPr>
        <w:rPr>
          <w:rFonts w:ascii="Arial" w:eastAsia="Arial" w:hAnsi="Arial" w:cs="Arial"/>
        </w:rPr>
      </w:pPr>
    </w:p>
    <w:p w14:paraId="78789FCE" w14:textId="77777777" w:rsidR="00067C34" w:rsidRDefault="00BA3CD1">
      <w:pPr>
        <w:pStyle w:val="Ttulo2"/>
        <w:jc w:val="both"/>
        <w:rPr>
          <w:rFonts w:ascii="Arial" w:eastAsia="Arial" w:hAnsi="Arial" w:cs="Arial"/>
          <w:b/>
          <w:color w:val="000000"/>
          <w:sz w:val="24"/>
          <w:szCs w:val="24"/>
        </w:rPr>
      </w:pPr>
      <w:bookmarkStart w:id="28" w:name="_heading=h.1mrcu09" w:colFirst="0" w:colLast="0"/>
      <w:bookmarkEnd w:id="28"/>
      <w:r>
        <w:rPr>
          <w:rFonts w:ascii="Arial" w:eastAsia="Arial" w:hAnsi="Arial" w:cs="Arial"/>
          <w:b/>
          <w:color w:val="000000"/>
          <w:sz w:val="24"/>
          <w:szCs w:val="24"/>
        </w:rPr>
        <w:t xml:space="preserve">Conclusiones </w:t>
      </w:r>
    </w:p>
    <w:p w14:paraId="4697A543" w14:textId="77777777" w:rsidR="00067C34" w:rsidRDefault="00BA3CD1">
      <w:pPr>
        <w:spacing w:before="240" w:after="240" w:line="360" w:lineRule="auto"/>
        <w:jc w:val="both"/>
        <w:rPr>
          <w:rFonts w:ascii="Arial" w:eastAsia="Arial" w:hAnsi="Arial" w:cs="Arial"/>
        </w:rPr>
      </w:pPr>
      <w:r>
        <w:rPr>
          <w:rFonts w:ascii="Arial" w:eastAsia="Arial" w:hAnsi="Arial" w:cs="Arial"/>
        </w:rPr>
        <w:t>Desde la Dirección de Estado Abierto Estudios y Evaluación, que co</w:t>
      </w:r>
      <w:r>
        <w:rPr>
          <w:rFonts w:ascii="Arial" w:eastAsia="Arial" w:hAnsi="Arial" w:cs="Arial"/>
        </w:rPr>
        <w:t>ordina la Comisionada Ciudadana María del Carmen Nava Polina, se han desplegado diversas acciones para promover la apertura institucional también desde el proceso de verificación de las obligaciones de transparencia que se lleva a cabo a los sujetos obliga</w:t>
      </w:r>
      <w:r>
        <w:rPr>
          <w:rFonts w:ascii="Arial" w:eastAsia="Arial" w:hAnsi="Arial" w:cs="Arial"/>
        </w:rPr>
        <w:t xml:space="preserve">dos de la Ciudad de México. </w:t>
      </w:r>
    </w:p>
    <w:p w14:paraId="42ABC5E5" w14:textId="77777777" w:rsidR="00067C34" w:rsidRDefault="00BA3CD1">
      <w:pPr>
        <w:spacing w:before="240" w:after="240" w:line="360" w:lineRule="auto"/>
        <w:jc w:val="both"/>
        <w:rPr>
          <w:rFonts w:ascii="Arial" w:eastAsia="Arial" w:hAnsi="Arial" w:cs="Arial"/>
        </w:rPr>
      </w:pPr>
      <w:r>
        <w:rPr>
          <w:rFonts w:ascii="Arial" w:eastAsia="Arial" w:hAnsi="Arial" w:cs="Arial"/>
        </w:rPr>
        <w:t xml:space="preserve">Así, además de mejorar al proceso de evaluación en cumplimiento a las atribuciones que le confiere el artículo 154 de la Ley de Transparencia y de los numerales XI y XII del artículo 22 del Reglamento Interior, se contribuye a </w:t>
      </w:r>
      <w:r>
        <w:rPr>
          <w:rFonts w:ascii="Arial" w:eastAsia="Arial" w:hAnsi="Arial" w:cs="Arial"/>
        </w:rPr>
        <w:t xml:space="preserve">la implementación del </w:t>
      </w:r>
      <w:r>
        <w:rPr>
          <w:rFonts w:ascii="Arial" w:eastAsia="Arial" w:hAnsi="Arial" w:cs="Arial"/>
          <w:i/>
        </w:rPr>
        <w:t>Plan Estratégico para Desarrollar la Agenda de Estado Abierto desde el Instituto 2019-2025</w:t>
      </w:r>
      <w:r>
        <w:rPr>
          <w:rFonts w:ascii="Arial" w:eastAsia="Arial" w:hAnsi="Arial" w:cs="Arial"/>
        </w:rPr>
        <w:t xml:space="preserve"> y en particular, al avance del objetivo estratégico número seis que se refiere a disminuir el incumplimiento de obligaciones de transparencia.</w:t>
      </w:r>
    </w:p>
    <w:p w14:paraId="52D3B1C4" w14:textId="77777777" w:rsidR="00067C34" w:rsidRDefault="00BA3CD1">
      <w:pPr>
        <w:spacing w:before="240" w:after="240" w:line="360" w:lineRule="auto"/>
        <w:jc w:val="both"/>
        <w:rPr>
          <w:rFonts w:ascii="Arial" w:eastAsia="Arial" w:hAnsi="Arial" w:cs="Arial"/>
        </w:rPr>
      </w:pPr>
      <w:r>
        <w:rPr>
          <w:rFonts w:ascii="Arial" w:eastAsia="Arial" w:hAnsi="Arial" w:cs="Arial"/>
        </w:rPr>
        <w:t>Derivado de este proceso se tiene un conjunto de hallazgos, mejoras y áreas de oportunidad que se enlistan, a continuación:</w:t>
      </w:r>
    </w:p>
    <w:p w14:paraId="1E57824C" w14:textId="77777777" w:rsidR="00067C34" w:rsidRDefault="00BA3CD1">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De los 143 sujetos obligados que se verificaron en la Segunda Evaluación Vinculante 2020, 119, es decir, el 83.2% recibió observacio</w:t>
      </w:r>
      <w:r>
        <w:rPr>
          <w:rFonts w:ascii="Arial" w:eastAsia="Arial" w:hAnsi="Arial" w:cs="Arial"/>
          <w:color w:val="000000"/>
        </w:rPr>
        <w:t>nes y recomendaciones.</w:t>
      </w:r>
    </w:p>
    <w:p w14:paraId="1E2E6C23" w14:textId="77777777" w:rsidR="00067C34" w:rsidRDefault="00BA3CD1">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Arial" w:eastAsia="Arial" w:hAnsi="Arial" w:cs="Arial"/>
          <w:color w:val="000000"/>
        </w:rPr>
        <w:t xml:space="preserve">Los sujetos obligados de la Ciudad de México incrementaron, en su conjunto, su </w:t>
      </w:r>
      <w:r>
        <w:rPr>
          <w:rFonts w:ascii="Arial" w:eastAsia="Arial" w:hAnsi="Arial" w:cs="Arial"/>
        </w:rPr>
        <w:t>índice global de cumplimiento a las obligaciones de transparencia (</w:t>
      </w:r>
      <w:r>
        <w:rPr>
          <w:rFonts w:ascii="Arial" w:eastAsia="Arial" w:hAnsi="Arial" w:cs="Arial"/>
          <w:b/>
        </w:rPr>
        <w:t>IGOT</w:t>
      </w:r>
      <w:r>
        <w:rPr>
          <w:rFonts w:ascii="Arial" w:eastAsia="Arial" w:hAnsi="Arial" w:cs="Arial"/>
        </w:rPr>
        <w:t xml:space="preserve">) </w:t>
      </w:r>
      <w:r>
        <w:rPr>
          <w:rFonts w:ascii="Arial" w:eastAsia="Arial" w:hAnsi="Arial" w:cs="Arial"/>
          <w:b/>
        </w:rPr>
        <w:t xml:space="preserve">promedio </w:t>
      </w:r>
      <w:r>
        <w:rPr>
          <w:rFonts w:ascii="Arial" w:eastAsia="Arial" w:hAnsi="Arial" w:cs="Arial"/>
          <w:color w:val="000000"/>
        </w:rPr>
        <w:t xml:space="preserve">al pasar de tener un de 66.54 a </w:t>
      </w:r>
      <w:r>
        <w:rPr>
          <w:rFonts w:ascii="Arial" w:eastAsia="Arial" w:hAnsi="Arial" w:cs="Arial"/>
          <w:b/>
          <w:color w:val="000000"/>
        </w:rPr>
        <w:t>75.44</w:t>
      </w:r>
      <w:r>
        <w:rPr>
          <w:rFonts w:ascii="Arial" w:eastAsia="Arial" w:hAnsi="Arial" w:cs="Arial"/>
          <w:color w:val="000000"/>
        </w:rPr>
        <w:t>; es decir, un aument</w:t>
      </w:r>
      <w:r>
        <w:rPr>
          <w:rFonts w:ascii="Arial" w:eastAsia="Arial" w:hAnsi="Arial" w:cs="Arial"/>
        </w:rPr>
        <w:t>o</w:t>
      </w:r>
      <w:r>
        <w:rPr>
          <w:rFonts w:ascii="Arial" w:eastAsia="Arial" w:hAnsi="Arial" w:cs="Arial"/>
          <w:color w:val="000000"/>
        </w:rPr>
        <w:t xml:space="preserve"> de </w:t>
      </w:r>
      <w:r>
        <w:rPr>
          <w:rFonts w:ascii="Arial" w:eastAsia="Arial" w:hAnsi="Arial" w:cs="Arial"/>
        </w:rPr>
        <w:t>8</w:t>
      </w:r>
      <w:r>
        <w:rPr>
          <w:rFonts w:ascii="Arial" w:eastAsia="Arial" w:hAnsi="Arial" w:cs="Arial"/>
          <w:color w:val="000000"/>
        </w:rPr>
        <w:t>.9 puntos. Ningún sujeto obligado disminuyó su puntaje: o mejoraron o quedaron igual.</w:t>
      </w:r>
    </w:p>
    <w:p w14:paraId="75F73BF9" w14:textId="77777777" w:rsidR="00067C34" w:rsidRDefault="00BA3CD1">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Arial" w:eastAsia="Arial" w:hAnsi="Arial" w:cs="Arial"/>
        </w:rPr>
        <w:t xml:space="preserve">El </w:t>
      </w:r>
      <w:r>
        <w:rPr>
          <w:rFonts w:ascii="Arial" w:eastAsia="Arial" w:hAnsi="Arial" w:cs="Arial"/>
          <w:b/>
        </w:rPr>
        <w:t>índice de cumplimiento</w:t>
      </w:r>
      <w:r>
        <w:rPr>
          <w:rFonts w:ascii="Arial" w:eastAsia="Arial" w:hAnsi="Arial" w:cs="Arial"/>
        </w:rPr>
        <w:t xml:space="preserve"> promedio en los </w:t>
      </w:r>
      <w:r>
        <w:rPr>
          <w:rFonts w:ascii="Arial" w:eastAsia="Arial" w:hAnsi="Arial" w:cs="Arial"/>
          <w:b/>
        </w:rPr>
        <w:t>portales institucionales</w:t>
      </w:r>
      <w:r>
        <w:rPr>
          <w:rFonts w:ascii="Arial" w:eastAsia="Arial" w:hAnsi="Arial" w:cs="Arial"/>
        </w:rPr>
        <w:t xml:space="preserve"> pasó de 64.08 a </w:t>
      </w:r>
      <w:r>
        <w:rPr>
          <w:rFonts w:ascii="Arial" w:eastAsia="Arial" w:hAnsi="Arial" w:cs="Arial"/>
          <w:b/>
        </w:rPr>
        <w:t>74.56</w:t>
      </w:r>
      <w:r>
        <w:rPr>
          <w:rFonts w:ascii="Arial" w:eastAsia="Arial" w:hAnsi="Arial" w:cs="Arial"/>
        </w:rPr>
        <w:t xml:space="preserve"> que significa un incremento de 10.49 puntos. En el </w:t>
      </w:r>
      <w:r>
        <w:rPr>
          <w:rFonts w:ascii="Arial" w:eastAsia="Arial" w:hAnsi="Arial" w:cs="Arial"/>
          <w:b/>
        </w:rPr>
        <w:t>índ</w:t>
      </w:r>
      <w:r>
        <w:rPr>
          <w:rFonts w:ascii="Arial" w:eastAsia="Arial" w:hAnsi="Arial" w:cs="Arial"/>
          <w:b/>
        </w:rPr>
        <w:t>ice de cumplimiento</w:t>
      </w:r>
      <w:r>
        <w:rPr>
          <w:rFonts w:ascii="Arial" w:eastAsia="Arial" w:hAnsi="Arial" w:cs="Arial"/>
        </w:rPr>
        <w:t xml:space="preserve"> promedio en la </w:t>
      </w:r>
      <w:r>
        <w:rPr>
          <w:rFonts w:ascii="Arial" w:eastAsia="Arial" w:hAnsi="Arial" w:cs="Arial"/>
          <w:b/>
        </w:rPr>
        <w:t>Plataforma Nacional de Transparencia</w:t>
      </w:r>
      <w:r>
        <w:rPr>
          <w:rFonts w:ascii="Arial" w:eastAsia="Arial" w:hAnsi="Arial" w:cs="Arial"/>
        </w:rPr>
        <w:t xml:space="preserve"> el incremento fue de 7.29 puntos al pasar de 69.01 a </w:t>
      </w:r>
      <w:r>
        <w:rPr>
          <w:rFonts w:ascii="Arial" w:eastAsia="Arial" w:hAnsi="Arial" w:cs="Arial"/>
          <w:b/>
        </w:rPr>
        <w:t>76.30</w:t>
      </w:r>
      <w:r>
        <w:rPr>
          <w:rFonts w:ascii="Arial" w:eastAsia="Arial" w:hAnsi="Arial" w:cs="Arial"/>
        </w:rPr>
        <w:t xml:space="preserve">. </w:t>
      </w:r>
      <w:r>
        <w:rPr>
          <w:rFonts w:ascii="Arial" w:eastAsia="Arial" w:hAnsi="Arial" w:cs="Arial"/>
          <w:color w:val="000000"/>
        </w:rPr>
        <w:t xml:space="preserve"> </w:t>
      </w:r>
    </w:p>
    <w:p w14:paraId="28C4C7AE" w14:textId="77777777" w:rsidR="00067C34" w:rsidRDefault="00BA3CD1">
      <w:pPr>
        <w:numPr>
          <w:ilvl w:val="0"/>
          <w:numId w:val="2"/>
        </w:numPr>
        <w:spacing w:line="360" w:lineRule="auto"/>
        <w:jc w:val="both"/>
        <w:rPr>
          <w:rFonts w:ascii="Calibri" w:eastAsia="Calibri" w:hAnsi="Calibri" w:cs="Calibri"/>
        </w:rPr>
      </w:pPr>
      <w:r>
        <w:rPr>
          <w:rFonts w:ascii="Arial" w:eastAsia="Arial" w:hAnsi="Arial" w:cs="Arial"/>
          <w:b/>
        </w:rPr>
        <w:t>Por nivel de cumplimiento</w:t>
      </w:r>
      <w:r>
        <w:rPr>
          <w:rFonts w:ascii="Arial" w:eastAsia="Arial" w:hAnsi="Arial" w:cs="Arial"/>
        </w:rPr>
        <w:t xml:space="preserve"> se tiene que, una cuarta parte (24.4%) de los sujetos obligados, es decir, </w:t>
      </w:r>
      <w:r>
        <w:rPr>
          <w:rFonts w:ascii="Arial" w:eastAsia="Arial" w:hAnsi="Arial" w:cs="Arial"/>
          <w:b/>
        </w:rPr>
        <w:t>29</w:t>
      </w:r>
      <w:r>
        <w:rPr>
          <w:rFonts w:ascii="Arial" w:eastAsia="Arial" w:hAnsi="Arial" w:cs="Arial"/>
        </w:rPr>
        <w:t xml:space="preserve"> de 119 que se verificaron, alcanzaron un </w:t>
      </w:r>
      <w:r>
        <w:rPr>
          <w:rFonts w:ascii="Arial" w:eastAsia="Arial" w:hAnsi="Arial" w:cs="Arial"/>
          <w:b/>
        </w:rPr>
        <w:t xml:space="preserve">cumplimiento total </w:t>
      </w:r>
      <w:r>
        <w:rPr>
          <w:rFonts w:ascii="Arial" w:eastAsia="Arial" w:hAnsi="Arial" w:cs="Arial"/>
        </w:rPr>
        <w:t>con un I</w:t>
      </w:r>
      <w:r>
        <w:rPr>
          <w:rFonts w:ascii="Arial" w:eastAsia="Arial" w:hAnsi="Arial" w:cs="Arial"/>
          <w:b/>
        </w:rPr>
        <w:t xml:space="preserve">GOT </w:t>
      </w:r>
      <w:r>
        <w:rPr>
          <w:rFonts w:ascii="Arial" w:eastAsia="Arial" w:hAnsi="Arial" w:cs="Arial"/>
        </w:rPr>
        <w:t>de</w:t>
      </w:r>
      <w:r>
        <w:rPr>
          <w:rFonts w:ascii="Arial" w:eastAsia="Arial" w:hAnsi="Arial" w:cs="Arial"/>
          <w:b/>
        </w:rPr>
        <w:t xml:space="preserve"> 100 puntos</w:t>
      </w:r>
      <w:r>
        <w:rPr>
          <w:rFonts w:ascii="Arial" w:eastAsia="Arial" w:hAnsi="Arial" w:cs="Arial"/>
        </w:rPr>
        <w:t xml:space="preserve"> lo que significa que cumplieron con el piso mínimo de transparencia que estipula la Ley. Co</w:t>
      </w:r>
      <w:r>
        <w:rPr>
          <w:rFonts w:ascii="Arial" w:eastAsia="Arial" w:hAnsi="Arial" w:cs="Arial"/>
        </w:rPr>
        <w:t xml:space="preserve">mo referencia, en la Segunda Evaluación fueron 24 los sujetos obligados que alcanzaron este puntaje. </w:t>
      </w:r>
    </w:p>
    <w:p w14:paraId="202D1A61" w14:textId="77777777" w:rsidR="00067C34" w:rsidRDefault="00BA3CD1">
      <w:pPr>
        <w:numPr>
          <w:ilvl w:val="0"/>
          <w:numId w:val="2"/>
        </w:numPr>
        <w:spacing w:line="360" w:lineRule="auto"/>
        <w:jc w:val="both"/>
        <w:rPr>
          <w:rFonts w:ascii="Arial" w:eastAsia="Arial" w:hAnsi="Arial" w:cs="Arial"/>
        </w:rPr>
      </w:pPr>
      <w:r>
        <w:rPr>
          <w:rFonts w:ascii="Arial" w:eastAsia="Arial" w:hAnsi="Arial" w:cs="Arial"/>
        </w:rPr>
        <w:t xml:space="preserve">Como resultado de la solventación, </w:t>
      </w:r>
      <w:r>
        <w:rPr>
          <w:rFonts w:ascii="Arial" w:eastAsia="Arial" w:hAnsi="Arial" w:cs="Arial"/>
          <w:b/>
        </w:rPr>
        <w:t>63 sujetos obligados</w:t>
      </w:r>
      <w:r>
        <w:rPr>
          <w:rFonts w:ascii="Arial" w:eastAsia="Arial" w:hAnsi="Arial" w:cs="Arial"/>
        </w:rPr>
        <w:t xml:space="preserve"> (53%) se ubicaron en el nivel de </w:t>
      </w:r>
      <w:r>
        <w:rPr>
          <w:rFonts w:ascii="Arial" w:eastAsia="Arial" w:hAnsi="Arial" w:cs="Arial"/>
          <w:b/>
        </w:rPr>
        <w:t xml:space="preserve">cumplimiento parcial </w:t>
      </w:r>
      <w:r>
        <w:rPr>
          <w:rFonts w:ascii="Arial" w:eastAsia="Arial" w:hAnsi="Arial" w:cs="Arial"/>
        </w:rPr>
        <w:t xml:space="preserve">y tuvieron entre 99.99 y 60 puntos. </w:t>
      </w:r>
    </w:p>
    <w:p w14:paraId="7D59CF9B" w14:textId="77777777" w:rsidR="00067C34" w:rsidRDefault="00BA3CD1">
      <w:pPr>
        <w:numPr>
          <w:ilvl w:val="0"/>
          <w:numId w:val="2"/>
        </w:numPr>
        <w:spacing w:line="360" w:lineRule="auto"/>
        <w:jc w:val="both"/>
        <w:rPr>
          <w:rFonts w:ascii="Arial" w:eastAsia="Arial" w:hAnsi="Arial" w:cs="Arial"/>
        </w:rPr>
      </w:pPr>
      <w:r>
        <w:rPr>
          <w:rFonts w:ascii="Arial" w:eastAsia="Arial" w:hAnsi="Arial" w:cs="Arial"/>
        </w:rPr>
        <w:t>En el n</w:t>
      </w:r>
      <w:r>
        <w:rPr>
          <w:rFonts w:ascii="Arial" w:eastAsia="Arial" w:hAnsi="Arial" w:cs="Arial"/>
        </w:rPr>
        <w:t xml:space="preserve">ivel de </w:t>
      </w:r>
      <w:r>
        <w:rPr>
          <w:rFonts w:ascii="Arial" w:eastAsia="Arial" w:hAnsi="Arial" w:cs="Arial"/>
          <w:b/>
        </w:rPr>
        <w:t>incumplimiento parcial</w:t>
      </w:r>
      <w:r>
        <w:rPr>
          <w:rFonts w:ascii="Arial" w:eastAsia="Arial" w:hAnsi="Arial" w:cs="Arial"/>
        </w:rPr>
        <w:t xml:space="preserve"> están </w:t>
      </w:r>
      <w:r>
        <w:rPr>
          <w:rFonts w:ascii="Arial" w:eastAsia="Arial" w:hAnsi="Arial" w:cs="Arial"/>
          <w:b/>
        </w:rPr>
        <w:t>20 sujetos obligados</w:t>
      </w:r>
      <w:r>
        <w:rPr>
          <w:rFonts w:ascii="Arial" w:eastAsia="Arial" w:hAnsi="Arial" w:cs="Arial"/>
        </w:rPr>
        <w:t xml:space="preserve"> (16.8%) y </w:t>
      </w:r>
      <w:r>
        <w:rPr>
          <w:rFonts w:ascii="Arial" w:eastAsia="Arial" w:hAnsi="Arial" w:cs="Arial"/>
          <w:b/>
        </w:rPr>
        <w:t>7 sujetos obligados</w:t>
      </w:r>
      <w:r>
        <w:rPr>
          <w:rFonts w:ascii="Arial" w:eastAsia="Arial" w:hAnsi="Arial" w:cs="Arial"/>
        </w:rPr>
        <w:t xml:space="preserve"> (5.8%) tienen </w:t>
      </w:r>
      <w:r>
        <w:rPr>
          <w:rFonts w:ascii="Arial" w:eastAsia="Arial" w:hAnsi="Arial" w:cs="Arial"/>
          <w:b/>
        </w:rPr>
        <w:t>incumplimiento total</w:t>
      </w:r>
      <w:r>
        <w:rPr>
          <w:rFonts w:ascii="Arial" w:eastAsia="Arial" w:hAnsi="Arial" w:cs="Arial"/>
        </w:rPr>
        <w:t xml:space="preserve"> con IGOT igual a cero en la publicación de sus obligaciones de transparencia.</w:t>
      </w:r>
    </w:p>
    <w:p w14:paraId="797E5B60" w14:textId="77777777" w:rsidR="00067C34" w:rsidRDefault="00BA3CD1">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Arial" w:eastAsia="Arial" w:hAnsi="Arial" w:cs="Arial"/>
          <w:b/>
        </w:rPr>
        <w:t>Por</w:t>
      </w:r>
      <w:r>
        <w:rPr>
          <w:rFonts w:ascii="Arial" w:eastAsia="Arial" w:hAnsi="Arial" w:cs="Arial"/>
        </w:rPr>
        <w:t xml:space="preserve"> nivel de </w:t>
      </w:r>
      <w:r>
        <w:rPr>
          <w:rFonts w:ascii="Arial" w:eastAsia="Arial" w:hAnsi="Arial" w:cs="Arial"/>
          <w:b/>
        </w:rPr>
        <w:t>atención a las recomendaciones y observaci</w:t>
      </w:r>
      <w:r>
        <w:rPr>
          <w:rFonts w:ascii="Arial" w:eastAsia="Arial" w:hAnsi="Arial" w:cs="Arial"/>
          <w:b/>
        </w:rPr>
        <w:t>ones</w:t>
      </w:r>
      <w:r>
        <w:rPr>
          <w:rFonts w:ascii="Arial" w:eastAsia="Arial" w:hAnsi="Arial" w:cs="Arial"/>
        </w:rPr>
        <w:t xml:space="preserve"> se tienen </w:t>
      </w:r>
      <w:r>
        <w:rPr>
          <w:rFonts w:ascii="Arial" w:eastAsia="Arial" w:hAnsi="Arial" w:cs="Arial"/>
          <w:b/>
          <w:color w:val="000000"/>
        </w:rPr>
        <w:t>99 sujetos obligados</w:t>
      </w:r>
      <w:r>
        <w:rPr>
          <w:rFonts w:ascii="Arial" w:eastAsia="Arial" w:hAnsi="Arial" w:cs="Arial"/>
          <w:color w:val="000000"/>
        </w:rPr>
        <w:t xml:space="preserve"> </w:t>
      </w:r>
      <w:r>
        <w:rPr>
          <w:rFonts w:ascii="Arial" w:eastAsia="Arial" w:hAnsi="Arial" w:cs="Arial"/>
        </w:rPr>
        <w:t>que equivalen al 83.2%</w:t>
      </w:r>
      <w:r>
        <w:rPr>
          <w:rFonts w:ascii="Arial" w:eastAsia="Arial" w:hAnsi="Arial" w:cs="Arial"/>
          <w:color w:val="000000"/>
        </w:rPr>
        <w:t xml:space="preserve"> </w:t>
      </w:r>
      <w:r>
        <w:rPr>
          <w:rFonts w:ascii="Arial" w:eastAsia="Arial" w:hAnsi="Arial" w:cs="Arial"/>
          <w:b/>
          <w:color w:val="000000"/>
        </w:rPr>
        <w:t xml:space="preserve">atendieron total o parcialmente </w:t>
      </w:r>
      <w:r>
        <w:rPr>
          <w:rFonts w:ascii="Arial" w:eastAsia="Arial" w:hAnsi="Arial" w:cs="Arial"/>
          <w:color w:val="000000"/>
        </w:rPr>
        <w:t>las recomendaciones y observaciones emitidas en la Segunda Evaluación Vinculante 2020.</w:t>
      </w:r>
      <w:r>
        <w:rPr>
          <w:rFonts w:ascii="Arial" w:eastAsia="Arial" w:hAnsi="Arial" w:cs="Arial"/>
        </w:rPr>
        <w:t xml:space="preserve"> De ellos 29 atendieron todas las recomendaciones y obtuvieron un IGOT de 100 p</w:t>
      </w:r>
      <w:r>
        <w:rPr>
          <w:rFonts w:ascii="Arial" w:eastAsia="Arial" w:hAnsi="Arial" w:cs="Arial"/>
        </w:rPr>
        <w:t>untos, los 70 restantes, sólo mejoraron su resultado.</w:t>
      </w:r>
    </w:p>
    <w:p w14:paraId="7F846BA1" w14:textId="77777777" w:rsidR="00067C34" w:rsidRDefault="00BA3CD1">
      <w:pPr>
        <w:numPr>
          <w:ilvl w:val="0"/>
          <w:numId w:val="2"/>
        </w:numPr>
        <w:spacing w:line="360" w:lineRule="auto"/>
        <w:jc w:val="both"/>
        <w:rPr>
          <w:rFonts w:ascii="Calibri" w:eastAsia="Calibri" w:hAnsi="Calibri" w:cs="Calibri"/>
        </w:rPr>
      </w:pPr>
      <w:r>
        <w:rPr>
          <w:rFonts w:ascii="Arial" w:eastAsia="Arial" w:hAnsi="Arial" w:cs="Arial"/>
        </w:rPr>
        <w:t xml:space="preserve">De los 119 sujetos obligados con áreas de mejora que se verificaron, </w:t>
      </w:r>
      <w:r>
        <w:rPr>
          <w:rFonts w:ascii="Arial" w:eastAsia="Arial" w:hAnsi="Arial" w:cs="Arial"/>
          <w:b/>
        </w:rPr>
        <w:t>20 fueron omisos y no atendieron ninguna</w:t>
      </w:r>
      <w:r>
        <w:rPr>
          <w:rFonts w:ascii="Arial" w:eastAsia="Arial" w:hAnsi="Arial" w:cs="Arial"/>
        </w:rPr>
        <w:t xml:space="preserve"> de las recomendaciones u observaciones emitidas en el dictamen correspondiente.</w:t>
      </w:r>
    </w:p>
    <w:p w14:paraId="16220623" w14:textId="77777777" w:rsidR="00067C34" w:rsidRDefault="00BA3CD1">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Arial" w:eastAsia="Arial" w:hAnsi="Arial" w:cs="Arial"/>
          <w:color w:val="000000"/>
        </w:rPr>
        <w:t xml:space="preserve">En materia de </w:t>
      </w:r>
      <w:r>
        <w:rPr>
          <w:rFonts w:ascii="Arial" w:eastAsia="Arial" w:hAnsi="Arial" w:cs="Arial"/>
          <w:b/>
          <w:color w:val="000000"/>
        </w:rPr>
        <w:t>contrataciones</w:t>
      </w:r>
      <w:r>
        <w:rPr>
          <w:rFonts w:ascii="Arial" w:eastAsia="Arial" w:hAnsi="Arial" w:cs="Arial"/>
        </w:rPr>
        <w:t xml:space="preserve">, </w:t>
      </w:r>
      <w:r>
        <w:rPr>
          <w:rFonts w:ascii="Arial" w:eastAsia="Arial" w:hAnsi="Arial" w:cs="Arial"/>
          <w:color w:val="000000"/>
        </w:rPr>
        <w:t xml:space="preserve">casi la mitad (48%), es decir </w:t>
      </w:r>
      <w:r>
        <w:rPr>
          <w:rFonts w:ascii="Arial" w:eastAsia="Arial" w:hAnsi="Arial" w:cs="Arial"/>
          <w:b/>
          <w:color w:val="000000"/>
        </w:rPr>
        <w:t>57 sujetos obligado</w:t>
      </w:r>
      <w:r>
        <w:rPr>
          <w:rFonts w:ascii="Arial" w:eastAsia="Arial" w:hAnsi="Arial" w:cs="Arial"/>
          <w:b/>
        </w:rPr>
        <w:t>s</w:t>
      </w:r>
      <w:r>
        <w:rPr>
          <w:rFonts w:ascii="Arial" w:eastAsia="Arial" w:hAnsi="Arial" w:cs="Arial"/>
        </w:rPr>
        <w:t xml:space="preserve"> </w:t>
      </w:r>
      <w:r>
        <w:rPr>
          <w:rFonts w:ascii="Arial" w:eastAsia="Arial" w:hAnsi="Arial" w:cs="Arial"/>
          <w:color w:val="000000"/>
        </w:rPr>
        <w:t xml:space="preserve">verificados </w:t>
      </w:r>
      <w:r>
        <w:rPr>
          <w:rFonts w:ascii="Arial" w:eastAsia="Arial" w:hAnsi="Arial" w:cs="Arial"/>
          <w:b/>
          <w:color w:val="000000"/>
        </w:rPr>
        <w:t>cumplen totalmente</w:t>
      </w:r>
      <w:r>
        <w:rPr>
          <w:rFonts w:ascii="Arial" w:eastAsia="Arial" w:hAnsi="Arial" w:cs="Arial"/>
          <w:color w:val="000000"/>
        </w:rPr>
        <w:t xml:space="preserve"> con la publicación de la información en materia de adquisicione</w:t>
      </w:r>
      <w:r>
        <w:rPr>
          <w:rFonts w:ascii="Arial" w:eastAsia="Arial" w:hAnsi="Arial" w:cs="Arial"/>
          <w:color w:val="000000"/>
        </w:rPr>
        <w:t xml:space="preserve">s de manera completa y actualizada. Con cumplimiento </w:t>
      </w:r>
      <w:r>
        <w:rPr>
          <w:rFonts w:ascii="Arial" w:eastAsia="Arial" w:hAnsi="Arial" w:cs="Arial"/>
        </w:rPr>
        <w:t xml:space="preserve">total (de 100 puntos) en la publicación de contratos destaca el </w:t>
      </w:r>
      <w:r>
        <w:rPr>
          <w:rFonts w:ascii="Arial" w:eastAsia="Arial" w:hAnsi="Arial" w:cs="Arial"/>
          <w:b/>
        </w:rPr>
        <w:t>Poder Judicial</w:t>
      </w:r>
      <w:r>
        <w:rPr>
          <w:rFonts w:ascii="Arial" w:eastAsia="Arial" w:hAnsi="Arial" w:cs="Arial"/>
        </w:rPr>
        <w:t xml:space="preserve"> y la </w:t>
      </w:r>
      <w:r>
        <w:rPr>
          <w:rFonts w:ascii="Arial" w:eastAsia="Arial" w:hAnsi="Arial" w:cs="Arial"/>
          <w:b/>
        </w:rPr>
        <w:t>administración pública central</w:t>
      </w:r>
      <w:r>
        <w:rPr>
          <w:rFonts w:ascii="Arial" w:eastAsia="Arial" w:hAnsi="Arial" w:cs="Arial"/>
        </w:rPr>
        <w:t xml:space="preserve">.  </w:t>
      </w:r>
    </w:p>
    <w:p w14:paraId="32522FED" w14:textId="77777777" w:rsidR="00067C34" w:rsidRDefault="00BA3CD1">
      <w:pPr>
        <w:numPr>
          <w:ilvl w:val="0"/>
          <w:numId w:val="2"/>
        </w:numPr>
        <w:spacing w:line="360" w:lineRule="auto"/>
        <w:jc w:val="both"/>
        <w:rPr>
          <w:rFonts w:ascii="Calibri" w:eastAsia="Calibri" w:hAnsi="Calibri" w:cs="Calibri"/>
        </w:rPr>
      </w:pPr>
      <w:r>
        <w:rPr>
          <w:rFonts w:ascii="Arial" w:eastAsia="Arial" w:hAnsi="Arial" w:cs="Arial"/>
        </w:rPr>
        <w:t xml:space="preserve">En todos los ámbitos de gobierno hubo </w:t>
      </w:r>
      <w:r>
        <w:rPr>
          <w:rFonts w:ascii="Arial" w:eastAsia="Arial" w:hAnsi="Arial" w:cs="Arial"/>
          <w:b/>
        </w:rPr>
        <w:t xml:space="preserve">mejoras </w:t>
      </w:r>
      <w:r>
        <w:rPr>
          <w:rFonts w:ascii="Arial" w:eastAsia="Arial" w:hAnsi="Arial" w:cs="Arial"/>
        </w:rPr>
        <w:t>en materia de contrataciones, aunque és</w:t>
      </w:r>
      <w:r>
        <w:rPr>
          <w:rFonts w:ascii="Arial" w:eastAsia="Arial" w:hAnsi="Arial" w:cs="Arial"/>
        </w:rPr>
        <w:t xml:space="preserve">tas son de niveles </w:t>
      </w:r>
      <w:r>
        <w:rPr>
          <w:rFonts w:ascii="Arial" w:eastAsia="Arial" w:hAnsi="Arial" w:cs="Arial"/>
          <w:b/>
        </w:rPr>
        <w:t>diferenciados</w:t>
      </w:r>
      <w:r>
        <w:rPr>
          <w:rFonts w:ascii="Arial" w:eastAsia="Arial" w:hAnsi="Arial" w:cs="Arial"/>
        </w:rPr>
        <w:t>, por ejemplo, los organismos desconcentrados, descentralizados, fondos y fideicomisos aumentaron 18.68 puntos al pasar de 54.26 a 72.94 puntos, mientras que los sindicatos tuvieron un aumento casi marginal ya que pasaron de</w:t>
      </w:r>
      <w:r>
        <w:rPr>
          <w:rFonts w:ascii="Arial" w:eastAsia="Arial" w:hAnsi="Arial" w:cs="Arial"/>
        </w:rPr>
        <w:t xml:space="preserve"> 19.17 a 21.56 puntos en la publicación de la información en materia de adquisiciones. </w:t>
      </w:r>
    </w:p>
    <w:p w14:paraId="16056E51" w14:textId="77777777" w:rsidR="00067C34" w:rsidRDefault="00BA3CD1">
      <w:pPr>
        <w:numPr>
          <w:ilvl w:val="0"/>
          <w:numId w:val="2"/>
        </w:numPr>
        <w:pBdr>
          <w:top w:val="nil"/>
          <w:left w:val="nil"/>
          <w:bottom w:val="nil"/>
          <w:right w:val="nil"/>
          <w:between w:val="nil"/>
        </w:pBdr>
        <w:spacing w:after="160" w:line="360" w:lineRule="auto"/>
        <w:jc w:val="both"/>
        <w:rPr>
          <w:rFonts w:ascii="Calibri" w:eastAsia="Calibri" w:hAnsi="Calibri" w:cs="Calibri"/>
          <w:color w:val="000000"/>
        </w:rPr>
      </w:pPr>
      <w:r>
        <w:rPr>
          <w:rFonts w:ascii="Arial" w:eastAsia="Arial" w:hAnsi="Arial" w:cs="Arial"/>
          <w:color w:val="000000"/>
        </w:rPr>
        <w:t xml:space="preserve">A pesar de las mejoras, aún persisten </w:t>
      </w:r>
      <w:r>
        <w:rPr>
          <w:rFonts w:ascii="Arial" w:eastAsia="Arial" w:hAnsi="Arial" w:cs="Arial"/>
          <w:b/>
          <w:color w:val="000000"/>
        </w:rPr>
        <w:t xml:space="preserve">rezagos </w:t>
      </w:r>
      <w:r>
        <w:rPr>
          <w:rFonts w:ascii="Arial" w:eastAsia="Arial" w:hAnsi="Arial" w:cs="Arial"/>
          <w:color w:val="000000"/>
        </w:rPr>
        <w:t xml:space="preserve">y áreas de opacidad que se requieren abatir para </w:t>
      </w:r>
      <w:r>
        <w:rPr>
          <w:rFonts w:ascii="Arial" w:eastAsia="Arial" w:hAnsi="Arial" w:cs="Arial"/>
          <w:b/>
          <w:color w:val="000000"/>
        </w:rPr>
        <w:t xml:space="preserve">transparentar las contrataciones </w:t>
      </w:r>
      <w:r>
        <w:rPr>
          <w:rFonts w:ascii="Arial" w:eastAsia="Arial" w:hAnsi="Arial" w:cs="Arial"/>
          <w:color w:val="000000"/>
        </w:rPr>
        <w:t xml:space="preserve">como lo marca la ley </w:t>
      </w:r>
      <w:r>
        <w:rPr>
          <w:rFonts w:ascii="Arial" w:eastAsia="Arial" w:hAnsi="Arial" w:cs="Arial"/>
        </w:rPr>
        <w:t xml:space="preserve">de manera completa </w:t>
      </w:r>
      <w:r>
        <w:rPr>
          <w:rFonts w:ascii="Arial" w:eastAsia="Arial" w:hAnsi="Arial" w:cs="Arial"/>
        </w:rPr>
        <w:t>y actualizada</w:t>
      </w:r>
      <w:r>
        <w:rPr>
          <w:rFonts w:ascii="Arial" w:eastAsia="Arial" w:hAnsi="Arial" w:cs="Arial"/>
          <w:color w:val="000000"/>
        </w:rPr>
        <w:t xml:space="preserve">: ya que persisten </w:t>
      </w:r>
      <w:r>
        <w:rPr>
          <w:rFonts w:ascii="Arial" w:eastAsia="Arial" w:hAnsi="Arial" w:cs="Arial"/>
          <w:b/>
          <w:color w:val="000000"/>
        </w:rPr>
        <w:t>31 sujetos obligados</w:t>
      </w:r>
      <w:r>
        <w:rPr>
          <w:rFonts w:ascii="Arial" w:eastAsia="Arial" w:hAnsi="Arial" w:cs="Arial"/>
          <w:color w:val="000000"/>
        </w:rPr>
        <w:t xml:space="preserve"> que representan el 26% de los verificados con un </w:t>
      </w:r>
      <w:r>
        <w:rPr>
          <w:rFonts w:ascii="Arial" w:eastAsia="Arial" w:hAnsi="Arial" w:cs="Arial"/>
          <w:b/>
          <w:color w:val="000000"/>
        </w:rPr>
        <w:t>incumplimiento total</w:t>
      </w:r>
      <w:r>
        <w:rPr>
          <w:rFonts w:ascii="Arial" w:eastAsia="Arial" w:hAnsi="Arial" w:cs="Arial"/>
          <w:color w:val="000000"/>
        </w:rPr>
        <w:t xml:space="preserve">, especialmente entre los </w:t>
      </w:r>
      <w:r>
        <w:rPr>
          <w:rFonts w:ascii="Arial" w:eastAsia="Arial" w:hAnsi="Arial" w:cs="Arial"/>
          <w:b/>
          <w:color w:val="000000"/>
        </w:rPr>
        <w:t>sindicatos y partidos políticos</w:t>
      </w:r>
      <w:r>
        <w:rPr>
          <w:rFonts w:ascii="Arial" w:eastAsia="Arial" w:hAnsi="Arial" w:cs="Arial"/>
          <w:color w:val="000000"/>
        </w:rPr>
        <w:t xml:space="preserve"> de la Ciudad de México.</w:t>
      </w:r>
    </w:p>
    <w:p w14:paraId="6965DD62" w14:textId="77777777" w:rsidR="00067C34" w:rsidRDefault="00067C34">
      <w:pPr>
        <w:spacing w:line="360" w:lineRule="auto"/>
        <w:jc w:val="both"/>
        <w:rPr>
          <w:rFonts w:ascii="Arial" w:eastAsia="Arial" w:hAnsi="Arial" w:cs="Arial"/>
        </w:rPr>
      </w:pPr>
    </w:p>
    <w:p w14:paraId="03EAEF24" w14:textId="77777777" w:rsidR="00067C34" w:rsidRDefault="00BA3CD1">
      <w:pPr>
        <w:pStyle w:val="Ttulo2"/>
        <w:jc w:val="both"/>
        <w:rPr>
          <w:rFonts w:ascii="Arial" w:eastAsia="Arial" w:hAnsi="Arial" w:cs="Arial"/>
          <w:b/>
          <w:color w:val="000000"/>
          <w:sz w:val="24"/>
          <w:szCs w:val="24"/>
        </w:rPr>
      </w:pPr>
      <w:bookmarkStart w:id="29" w:name="_heading=h.46r0co2" w:colFirst="0" w:colLast="0"/>
      <w:bookmarkEnd w:id="29"/>
      <w:r>
        <w:rPr>
          <w:rFonts w:ascii="Arial" w:eastAsia="Arial" w:hAnsi="Arial" w:cs="Arial"/>
          <w:b/>
          <w:color w:val="000000"/>
          <w:sz w:val="24"/>
          <w:szCs w:val="24"/>
        </w:rPr>
        <w:t>Recomendaciones</w:t>
      </w:r>
    </w:p>
    <w:p w14:paraId="66E4F930" w14:textId="77777777" w:rsidR="00067C34" w:rsidRDefault="00067C34">
      <w:pPr>
        <w:spacing w:line="360" w:lineRule="auto"/>
        <w:jc w:val="both"/>
        <w:rPr>
          <w:rFonts w:ascii="Arial" w:eastAsia="Arial" w:hAnsi="Arial" w:cs="Arial"/>
        </w:rPr>
      </w:pPr>
    </w:p>
    <w:p w14:paraId="7938A0B8" w14:textId="77777777" w:rsidR="00067C34" w:rsidRDefault="00BA3CD1">
      <w:pPr>
        <w:spacing w:line="360" w:lineRule="auto"/>
        <w:jc w:val="both"/>
        <w:rPr>
          <w:rFonts w:ascii="Arial" w:eastAsia="Arial" w:hAnsi="Arial" w:cs="Arial"/>
        </w:rPr>
      </w:pPr>
      <w:r>
        <w:rPr>
          <w:rFonts w:ascii="Arial" w:eastAsia="Arial" w:hAnsi="Arial" w:cs="Arial"/>
        </w:rPr>
        <w:t>A partir de los resultados de la E</w:t>
      </w:r>
      <w:r>
        <w:rPr>
          <w:rFonts w:ascii="Arial" w:eastAsia="Arial" w:hAnsi="Arial" w:cs="Arial"/>
        </w:rPr>
        <w:t xml:space="preserve">valuación de Solventación (Tercera Vinculante 2020) y con fin de </w:t>
      </w:r>
      <w:r>
        <w:rPr>
          <w:rFonts w:ascii="Arial" w:eastAsia="Arial" w:hAnsi="Arial" w:cs="Arial"/>
          <w:b/>
        </w:rPr>
        <w:t>promover entre los sujetos una cultura de la transparencia</w:t>
      </w:r>
      <w:r>
        <w:rPr>
          <w:rFonts w:ascii="Arial" w:eastAsia="Arial" w:hAnsi="Arial" w:cs="Arial"/>
        </w:rPr>
        <w:t xml:space="preserve"> y la </w:t>
      </w:r>
      <w:r>
        <w:rPr>
          <w:rFonts w:ascii="Arial" w:eastAsia="Arial" w:hAnsi="Arial" w:cs="Arial"/>
          <w:b/>
        </w:rPr>
        <w:t>apertura institucional</w:t>
      </w:r>
      <w:r>
        <w:rPr>
          <w:rFonts w:ascii="Arial" w:eastAsia="Arial" w:hAnsi="Arial" w:cs="Arial"/>
        </w:rPr>
        <w:t xml:space="preserve">, se desprenden una serie de </w:t>
      </w:r>
      <w:r>
        <w:rPr>
          <w:rFonts w:ascii="Arial" w:eastAsia="Arial" w:hAnsi="Arial" w:cs="Arial"/>
          <w:b/>
        </w:rPr>
        <w:t xml:space="preserve">recomendaciones </w:t>
      </w:r>
      <w:r>
        <w:rPr>
          <w:rFonts w:ascii="Arial" w:eastAsia="Arial" w:hAnsi="Arial" w:cs="Arial"/>
        </w:rPr>
        <w:t>para garantizar a las personas su derecho de acceso a la información con la publicación de información completa, veraz, oportuna para incrementar su utilidad y su aprovechamiento.</w:t>
      </w:r>
    </w:p>
    <w:p w14:paraId="0C7A9D78" w14:textId="77777777" w:rsidR="00067C34" w:rsidRDefault="00067C34">
      <w:pPr>
        <w:spacing w:line="360" w:lineRule="auto"/>
        <w:jc w:val="both"/>
        <w:rPr>
          <w:rFonts w:ascii="Arial" w:eastAsia="Arial" w:hAnsi="Arial" w:cs="Arial"/>
        </w:rPr>
      </w:pPr>
    </w:p>
    <w:p w14:paraId="56F7CA5A" w14:textId="77777777" w:rsidR="00067C34" w:rsidRDefault="00BA3CD1">
      <w:pPr>
        <w:numPr>
          <w:ilvl w:val="0"/>
          <w:numId w:val="3"/>
        </w:numPr>
        <w:spacing w:line="360" w:lineRule="auto"/>
        <w:jc w:val="both"/>
        <w:rPr>
          <w:rFonts w:ascii="Arial" w:eastAsia="Arial" w:hAnsi="Arial" w:cs="Arial"/>
        </w:rPr>
      </w:pPr>
      <w:r>
        <w:rPr>
          <w:rFonts w:ascii="Arial" w:eastAsia="Arial" w:hAnsi="Arial" w:cs="Arial"/>
        </w:rPr>
        <w:t xml:space="preserve">Mantener </w:t>
      </w:r>
      <w:r>
        <w:rPr>
          <w:rFonts w:ascii="Arial" w:eastAsia="Arial" w:hAnsi="Arial" w:cs="Arial"/>
          <w:b/>
        </w:rPr>
        <w:t xml:space="preserve">actualizada </w:t>
      </w:r>
      <w:r>
        <w:rPr>
          <w:rFonts w:ascii="Arial" w:eastAsia="Arial" w:hAnsi="Arial" w:cs="Arial"/>
        </w:rPr>
        <w:t xml:space="preserve">la información y de preferencia con </w:t>
      </w:r>
      <w:r>
        <w:rPr>
          <w:rFonts w:ascii="Arial" w:eastAsia="Arial" w:hAnsi="Arial" w:cs="Arial"/>
          <w:b/>
        </w:rPr>
        <w:t>accesos directos</w:t>
      </w:r>
      <w:r>
        <w:rPr>
          <w:rFonts w:ascii="Arial" w:eastAsia="Arial" w:hAnsi="Arial" w:cs="Arial"/>
        </w:rPr>
        <w:t xml:space="preserve"> que faciliten su consulta e incentiven la búsqueda de la información.</w:t>
      </w:r>
    </w:p>
    <w:p w14:paraId="7B1ABCA7" w14:textId="77777777" w:rsidR="00067C34" w:rsidRDefault="00BA3CD1">
      <w:pPr>
        <w:numPr>
          <w:ilvl w:val="0"/>
          <w:numId w:val="3"/>
        </w:numPr>
        <w:spacing w:line="360" w:lineRule="auto"/>
        <w:jc w:val="both"/>
        <w:rPr>
          <w:rFonts w:ascii="Arial" w:eastAsia="Arial" w:hAnsi="Arial" w:cs="Arial"/>
        </w:rPr>
      </w:pPr>
      <w:r>
        <w:rPr>
          <w:rFonts w:ascii="Arial" w:eastAsia="Arial" w:hAnsi="Arial" w:cs="Arial"/>
        </w:rPr>
        <w:t xml:space="preserve">Utilizar bases de </w:t>
      </w:r>
      <w:r>
        <w:rPr>
          <w:rFonts w:ascii="Arial" w:eastAsia="Arial" w:hAnsi="Arial" w:cs="Arial"/>
          <w:b/>
        </w:rPr>
        <w:t>datos abiertos</w:t>
      </w:r>
      <w:r>
        <w:rPr>
          <w:rFonts w:ascii="Arial" w:eastAsia="Arial" w:hAnsi="Arial" w:cs="Arial"/>
        </w:rPr>
        <w:t xml:space="preserve"> y con lenguaje sencillo. </w:t>
      </w:r>
    </w:p>
    <w:p w14:paraId="4BC44A54" w14:textId="77777777" w:rsidR="00067C34" w:rsidRDefault="00BA3CD1">
      <w:pPr>
        <w:numPr>
          <w:ilvl w:val="0"/>
          <w:numId w:val="3"/>
        </w:numPr>
        <w:spacing w:line="360" w:lineRule="auto"/>
        <w:jc w:val="both"/>
        <w:rPr>
          <w:rFonts w:ascii="Arial" w:eastAsia="Arial" w:hAnsi="Arial" w:cs="Arial"/>
        </w:rPr>
      </w:pPr>
      <w:r>
        <w:rPr>
          <w:rFonts w:ascii="Arial" w:eastAsia="Arial" w:hAnsi="Arial" w:cs="Arial"/>
        </w:rPr>
        <w:t>Establecer un apartado correspondiente a la información histórica de las o</w:t>
      </w:r>
      <w:r>
        <w:rPr>
          <w:rFonts w:ascii="Arial" w:eastAsia="Arial" w:hAnsi="Arial" w:cs="Arial"/>
        </w:rPr>
        <w:t xml:space="preserve">bligaciones de transparencia, a fin de brindar acceso fácil para todas las personas a la </w:t>
      </w:r>
      <w:r>
        <w:rPr>
          <w:rFonts w:ascii="Arial" w:eastAsia="Arial" w:hAnsi="Arial" w:cs="Arial"/>
          <w:b/>
        </w:rPr>
        <w:t>memoria y archivo institucional</w:t>
      </w:r>
      <w:r>
        <w:rPr>
          <w:rFonts w:ascii="Arial" w:eastAsia="Arial" w:hAnsi="Arial" w:cs="Arial"/>
        </w:rPr>
        <w:t>.</w:t>
      </w:r>
    </w:p>
    <w:p w14:paraId="44645580" w14:textId="77777777" w:rsidR="00067C34" w:rsidRDefault="00BA3CD1">
      <w:pPr>
        <w:numPr>
          <w:ilvl w:val="0"/>
          <w:numId w:val="3"/>
        </w:numPr>
        <w:spacing w:line="360" w:lineRule="auto"/>
        <w:jc w:val="both"/>
        <w:rPr>
          <w:rFonts w:ascii="Arial" w:eastAsia="Arial" w:hAnsi="Arial" w:cs="Arial"/>
        </w:rPr>
      </w:pPr>
      <w:r>
        <w:rPr>
          <w:rFonts w:ascii="Arial" w:eastAsia="Arial" w:hAnsi="Arial" w:cs="Arial"/>
        </w:rPr>
        <w:t xml:space="preserve">Verificar el </w:t>
      </w:r>
      <w:r>
        <w:rPr>
          <w:rFonts w:ascii="Arial" w:eastAsia="Arial" w:hAnsi="Arial" w:cs="Arial"/>
          <w:b/>
        </w:rPr>
        <w:t>correcto funcionamiento de los hipervínculos</w:t>
      </w:r>
      <w:r>
        <w:rPr>
          <w:rFonts w:ascii="Arial" w:eastAsia="Arial" w:hAnsi="Arial" w:cs="Arial"/>
        </w:rPr>
        <w:t>, por ejemplo, que se alojen en un servidor administrado por la institución p</w:t>
      </w:r>
      <w:r>
        <w:rPr>
          <w:rFonts w:ascii="Arial" w:eastAsia="Arial" w:hAnsi="Arial" w:cs="Arial"/>
        </w:rPr>
        <w:t>ara evitar rupturas y tener control sobre su actualización permanente, que no se encuentren protegidos con “candados” que limiten o impidan su utilización.</w:t>
      </w:r>
    </w:p>
    <w:p w14:paraId="5830F94C" w14:textId="77777777" w:rsidR="00067C34" w:rsidRDefault="00BA3CD1">
      <w:pPr>
        <w:numPr>
          <w:ilvl w:val="0"/>
          <w:numId w:val="3"/>
        </w:numPr>
        <w:spacing w:line="360" w:lineRule="auto"/>
        <w:jc w:val="both"/>
        <w:rPr>
          <w:rFonts w:ascii="Arial" w:eastAsia="Arial" w:hAnsi="Arial" w:cs="Arial"/>
        </w:rPr>
      </w:pPr>
      <w:r>
        <w:rPr>
          <w:rFonts w:ascii="Arial" w:eastAsia="Arial" w:hAnsi="Arial" w:cs="Arial"/>
        </w:rPr>
        <w:t xml:space="preserve">Verificar la </w:t>
      </w:r>
      <w:r>
        <w:rPr>
          <w:rFonts w:ascii="Arial" w:eastAsia="Arial" w:hAnsi="Arial" w:cs="Arial"/>
          <w:b/>
        </w:rPr>
        <w:t>correspondencia entre los formatos y la fracción o inciso</w:t>
      </w:r>
      <w:r>
        <w:rPr>
          <w:rFonts w:ascii="Arial" w:eastAsia="Arial" w:hAnsi="Arial" w:cs="Arial"/>
        </w:rPr>
        <w:t>, así como cuidar la ortografí</w:t>
      </w:r>
      <w:r>
        <w:rPr>
          <w:rFonts w:ascii="Arial" w:eastAsia="Arial" w:hAnsi="Arial" w:cs="Arial"/>
        </w:rPr>
        <w:t>a, redacción y puntuación en los formatos de carga, para así evitar errores o dificultades para la visualizar la información.</w:t>
      </w:r>
    </w:p>
    <w:p w14:paraId="69D8C4BB" w14:textId="77777777" w:rsidR="00067C34" w:rsidRDefault="00BA3CD1">
      <w:pPr>
        <w:numPr>
          <w:ilvl w:val="0"/>
          <w:numId w:val="3"/>
        </w:numPr>
        <w:spacing w:line="360" w:lineRule="auto"/>
        <w:jc w:val="both"/>
        <w:rPr>
          <w:rFonts w:ascii="Arial" w:eastAsia="Arial" w:hAnsi="Arial" w:cs="Arial"/>
        </w:rPr>
      </w:pPr>
      <w:r>
        <w:rPr>
          <w:rFonts w:ascii="Arial" w:eastAsia="Arial" w:hAnsi="Arial" w:cs="Arial"/>
        </w:rPr>
        <w:t xml:space="preserve">Revisar que se </w:t>
      </w:r>
      <w:r>
        <w:rPr>
          <w:rFonts w:ascii="Arial" w:eastAsia="Arial" w:hAnsi="Arial" w:cs="Arial"/>
          <w:b/>
        </w:rPr>
        <w:t xml:space="preserve">homologue </w:t>
      </w:r>
      <w:r>
        <w:rPr>
          <w:rFonts w:ascii="Arial" w:eastAsia="Arial" w:hAnsi="Arial" w:cs="Arial"/>
        </w:rPr>
        <w:t xml:space="preserve">la información que se publica en el </w:t>
      </w:r>
      <w:r>
        <w:rPr>
          <w:rFonts w:ascii="Arial" w:eastAsia="Arial" w:hAnsi="Arial" w:cs="Arial"/>
          <w:b/>
        </w:rPr>
        <w:t>portal de transparencia</w:t>
      </w:r>
      <w:r>
        <w:rPr>
          <w:rFonts w:ascii="Arial" w:eastAsia="Arial" w:hAnsi="Arial" w:cs="Arial"/>
        </w:rPr>
        <w:t xml:space="preserve"> del sujeto obligado con la que se publica en </w:t>
      </w:r>
      <w:r>
        <w:rPr>
          <w:rFonts w:ascii="Arial" w:eastAsia="Arial" w:hAnsi="Arial" w:cs="Arial"/>
        </w:rPr>
        <w:t xml:space="preserve">la </w:t>
      </w:r>
      <w:r>
        <w:rPr>
          <w:rFonts w:ascii="Arial" w:eastAsia="Arial" w:hAnsi="Arial" w:cs="Arial"/>
          <w:b/>
        </w:rPr>
        <w:t>Plataforma Nacional de Transparencia</w:t>
      </w:r>
      <w:r>
        <w:rPr>
          <w:rFonts w:ascii="Arial" w:eastAsia="Arial" w:hAnsi="Arial" w:cs="Arial"/>
        </w:rPr>
        <w:t>.</w:t>
      </w:r>
    </w:p>
    <w:p w14:paraId="3C0017E5" w14:textId="77777777" w:rsidR="00067C34" w:rsidRDefault="00BA3CD1">
      <w:pPr>
        <w:numPr>
          <w:ilvl w:val="0"/>
          <w:numId w:val="3"/>
        </w:numPr>
        <w:spacing w:after="160" w:line="360" w:lineRule="auto"/>
        <w:jc w:val="both"/>
        <w:rPr>
          <w:rFonts w:ascii="Arial" w:eastAsia="Arial" w:hAnsi="Arial" w:cs="Arial"/>
        </w:rPr>
      </w:pPr>
      <w:r>
        <w:rPr>
          <w:rFonts w:ascii="Arial" w:eastAsia="Arial" w:hAnsi="Arial" w:cs="Arial"/>
        </w:rPr>
        <w:t xml:space="preserve">Particularmente en materia de contrataciones, se recomienda publicar </w:t>
      </w:r>
      <w:r>
        <w:rPr>
          <w:rFonts w:ascii="Arial" w:eastAsia="Arial" w:hAnsi="Arial" w:cs="Arial"/>
          <w:b/>
        </w:rPr>
        <w:t>la información completa</w:t>
      </w:r>
      <w:r>
        <w:rPr>
          <w:rFonts w:ascii="Arial" w:eastAsia="Arial" w:hAnsi="Arial" w:cs="Arial"/>
        </w:rPr>
        <w:t xml:space="preserve"> y mantenerla </w:t>
      </w:r>
      <w:r>
        <w:rPr>
          <w:rFonts w:ascii="Arial" w:eastAsia="Arial" w:hAnsi="Arial" w:cs="Arial"/>
          <w:b/>
        </w:rPr>
        <w:t>actualizada</w:t>
      </w:r>
      <w:r>
        <w:rPr>
          <w:rFonts w:ascii="Arial" w:eastAsia="Arial" w:hAnsi="Arial" w:cs="Arial"/>
        </w:rPr>
        <w:t xml:space="preserve"> en lo que se refiere a los contratos, tanto para los </w:t>
      </w:r>
      <w:r>
        <w:rPr>
          <w:rFonts w:ascii="Arial" w:eastAsia="Arial" w:hAnsi="Arial" w:cs="Arial"/>
          <w:b/>
        </w:rPr>
        <w:t>procesos de licitación</w:t>
      </w:r>
      <w:r>
        <w:rPr>
          <w:rFonts w:ascii="Arial" w:eastAsia="Arial" w:hAnsi="Arial" w:cs="Arial"/>
        </w:rPr>
        <w:t xml:space="preserve">, </w:t>
      </w:r>
      <w:r>
        <w:rPr>
          <w:rFonts w:ascii="Arial" w:eastAsia="Arial" w:hAnsi="Arial" w:cs="Arial"/>
          <w:b/>
        </w:rPr>
        <w:t>invitación restringi</w:t>
      </w:r>
      <w:r>
        <w:rPr>
          <w:rFonts w:ascii="Arial" w:eastAsia="Arial" w:hAnsi="Arial" w:cs="Arial"/>
          <w:b/>
        </w:rPr>
        <w:t>da</w:t>
      </w:r>
      <w:r>
        <w:rPr>
          <w:rFonts w:ascii="Arial" w:eastAsia="Arial" w:hAnsi="Arial" w:cs="Arial"/>
        </w:rPr>
        <w:t xml:space="preserve">, pero especialmente la información relativa a las </w:t>
      </w:r>
      <w:r>
        <w:rPr>
          <w:rFonts w:ascii="Arial" w:eastAsia="Arial" w:hAnsi="Arial" w:cs="Arial"/>
          <w:b/>
        </w:rPr>
        <w:t>adjudicaciones directas</w:t>
      </w:r>
      <w:r>
        <w:rPr>
          <w:rFonts w:ascii="Arial" w:eastAsia="Arial" w:hAnsi="Arial" w:cs="Arial"/>
        </w:rPr>
        <w:t>. Lo mismo en los relativo a los convenios que suscribe.</w:t>
      </w:r>
    </w:p>
    <w:p w14:paraId="6AA17D7C" w14:textId="77777777" w:rsidR="00067C34" w:rsidRDefault="00BA3CD1">
      <w:pPr>
        <w:spacing w:before="240" w:after="240" w:line="360" w:lineRule="auto"/>
        <w:jc w:val="both"/>
        <w:rPr>
          <w:rFonts w:ascii="Arial" w:eastAsia="Arial" w:hAnsi="Arial" w:cs="Arial"/>
          <w:b/>
        </w:rPr>
      </w:pPr>
      <w:r>
        <w:rPr>
          <w:rFonts w:ascii="Arial" w:eastAsia="Arial" w:hAnsi="Arial" w:cs="Arial"/>
          <w:b/>
        </w:rPr>
        <w:t>Siguientes pasos</w:t>
      </w:r>
    </w:p>
    <w:p w14:paraId="50580152" w14:textId="77777777" w:rsidR="00067C34" w:rsidRDefault="00BA3CD1">
      <w:pPr>
        <w:numPr>
          <w:ilvl w:val="0"/>
          <w:numId w:val="1"/>
        </w:numPr>
        <w:spacing w:line="360" w:lineRule="auto"/>
        <w:jc w:val="both"/>
        <w:rPr>
          <w:rFonts w:ascii="Arial" w:eastAsia="Arial" w:hAnsi="Arial" w:cs="Arial"/>
        </w:rPr>
      </w:pPr>
      <w:r>
        <w:rPr>
          <w:rFonts w:ascii="Arial" w:eastAsia="Arial" w:hAnsi="Arial" w:cs="Arial"/>
        </w:rPr>
        <w:t xml:space="preserve">La Dirección de Estado Abierto, Estudios y Evaluación del Instituto </w:t>
      </w:r>
      <w:r>
        <w:rPr>
          <w:rFonts w:ascii="Arial" w:eastAsia="Arial" w:hAnsi="Arial" w:cs="Arial"/>
          <w:b/>
        </w:rPr>
        <w:t xml:space="preserve">notificará </w:t>
      </w:r>
      <w:r>
        <w:rPr>
          <w:rFonts w:ascii="Arial" w:eastAsia="Arial" w:hAnsi="Arial" w:cs="Arial"/>
        </w:rPr>
        <w:t xml:space="preserve">a cada sujeto obligado su </w:t>
      </w:r>
      <w:r>
        <w:rPr>
          <w:rFonts w:ascii="Arial" w:eastAsia="Arial" w:hAnsi="Arial" w:cs="Arial"/>
          <w:b/>
        </w:rPr>
        <w:t>d</w:t>
      </w:r>
      <w:r>
        <w:rPr>
          <w:rFonts w:ascii="Arial" w:eastAsia="Arial" w:hAnsi="Arial" w:cs="Arial"/>
          <w:b/>
        </w:rPr>
        <w:t>ictamen de evaluación</w:t>
      </w:r>
      <w:r>
        <w:rPr>
          <w:rFonts w:ascii="Arial" w:eastAsia="Arial" w:hAnsi="Arial" w:cs="Arial"/>
        </w:rPr>
        <w:t xml:space="preserve"> con las recomendaciones vinculantes y observaciones, las cuales deben de ser </w:t>
      </w:r>
      <w:r>
        <w:rPr>
          <w:rFonts w:ascii="Arial" w:eastAsia="Arial" w:hAnsi="Arial" w:cs="Arial"/>
          <w:b/>
        </w:rPr>
        <w:t xml:space="preserve">solventadas </w:t>
      </w:r>
      <w:r>
        <w:rPr>
          <w:rFonts w:ascii="Arial" w:eastAsia="Arial" w:hAnsi="Arial" w:cs="Arial"/>
        </w:rPr>
        <w:t>en un plazo no mayor a</w:t>
      </w:r>
      <w:r>
        <w:rPr>
          <w:rFonts w:ascii="Arial" w:eastAsia="Arial" w:hAnsi="Arial" w:cs="Arial"/>
          <w:b/>
        </w:rPr>
        <w:t xml:space="preserve"> cinco días hábiles</w:t>
      </w:r>
      <w:r>
        <w:rPr>
          <w:rFonts w:ascii="Arial" w:eastAsia="Arial" w:hAnsi="Arial" w:cs="Arial"/>
        </w:rPr>
        <w:t xml:space="preserve">, a partir de la notificación. Concluido el plazo, y en caso de que subsistan los incumplimientos total </w:t>
      </w:r>
      <w:r>
        <w:rPr>
          <w:rFonts w:ascii="Arial" w:eastAsia="Arial" w:hAnsi="Arial" w:cs="Arial"/>
        </w:rPr>
        <w:t>o parcial, se informará al Pleno para que, en su caso, imponga las medidas de apremio o sanciones, conforme a lo establecido por la Ley de Transparencia de la Ciudad de México.</w:t>
      </w:r>
    </w:p>
    <w:p w14:paraId="5B37899E" w14:textId="77777777" w:rsidR="00067C34" w:rsidRDefault="00BA3CD1">
      <w:pPr>
        <w:numPr>
          <w:ilvl w:val="0"/>
          <w:numId w:val="1"/>
        </w:numPr>
        <w:spacing w:line="360" w:lineRule="auto"/>
        <w:jc w:val="both"/>
        <w:rPr>
          <w:rFonts w:ascii="Arial" w:eastAsia="Arial" w:hAnsi="Arial" w:cs="Arial"/>
        </w:rPr>
      </w:pPr>
      <w:r>
        <w:rPr>
          <w:rFonts w:ascii="Arial" w:eastAsia="Arial" w:hAnsi="Arial" w:cs="Arial"/>
        </w:rPr>
        <w:t>El equipo de Estado Abierto del InfoCDMX continuará con la estrategia de acompa</w:t>
      </w:r>
      <w:r>
        <w:rPr>
          <w:rFonts w:ascii="Arial" w:eastAsia="Arial" w:hAnsi="Arial" w:cs="Arial"/>
        </w:rPr>
        <w:t>ñamiento a los sujetos obligados a través de las asesorías técnicas especializadas individuales y por ámbito de gobierno para remontar las brechas detectadas y alcanzar el cumplimiento total de las obligaciones de transparencia que marca la ley y así segui</w:t>
      </w:r>
      <w:r>
        <w:rPr>
          <w:rFonts w:ascii="Arial" w:eastAsia="Arial" w:hAnsi="Arial" w:cs="Arial"/>
        </w:rPr>
        <w:t xml:space="preserve">r dando pasos en la implementación del </w:t>
      </w:r>
      <w:r>
        <w:rPr>
          <w:rFonts w:ascii="Arial" w:eastAsia="Arial" w:hAnsi="Arial" w:cs="Arial"/>
          <w:b/>
        </w:rPr>
        <w:t>Plan Estratégico para Desarrollar la Agenda de Estado Abierto desde el Instituto 2019-2025</w:t>
      </w:r>
      <w:r>
        <w:rPr>
          <w:rFonts w:ascii="Arial" w:eastAsia="Arial" w:hAnsi="Arial" w:cs="Arial"/>
        </w:rPr>
        <w:t xml:space="preserve"> con evaluaciones oportunas y eficaces con perspectiva de derechos humanos y accesibilidad.</w:t>
      </w:r>
    </w:p>
    <w:p w14:paraId="7CA762A3" w14:textId="77777777" w:rsidR="00067C34" w:rsidRDefault="00BA3CD1">
      <w:pPr>
        <w:numPr>
          <w:ilvl w:val="0"/>
          <w:numId w:val="1"/>
        </w:numPr>
        <w:spacing w:line="360" w:lineRule="auto"/>
        <w:jc w:val="both"/>
        <w:rPr>
          <w:rFonts w:ascii="Arial" w:eastAsia="Arial" w:hAnsi="Arial" w:cs="Arial"/>
        </w:rPr>
      </w:pPr>
      <w:r>
        <w:rPr>
          <w:rFonts w:ascii="Arial" w:eastAsia="Arial" w:hAnsi="Arial" w:cs="Arial"/>
        </w:rPr>
        <w:t>La estrategia de acompañamiento per</w:t>
      </w:r>
      <w:r>
        <w:rPr>
          <w:rFonts w:ascii="Arial" w:eastAsia="Arial" w:hAnsi="Arial" w:cs="Arial"/>
        </w:rPr>
        <w:t xml:space="preserve">manente con base en las </w:t>
      </w:r>
      <w:r>
        <w:rPr>
          <w:rFonts w:ascii="Arial" w:eastAsia="Arial" w:hAnsi="Arial" w:cs="Arial"/>
          <w:b/>
        </w:rPr>
        <w:t xml:space="preserve">asesorías técnicas especializadas </w:t>
      </w:r>
      <w:r>
        <w:rPr>
          <w:rFonts w:ascii="Arial" w:eastAsia="Arial" w:hAnsi="Arial" w:cs="Arial"/>
        </w:rPr>
        <w:t>focaliza y genera acciones específicas de acuerdo con las necesidades de cada sujeto obligado que permitan, por un lado, mejorar el cumplimiento cabal a las obligaciones de transparencia mínimas que</w:t>
      </w:r>
      <w:r>
        <w:rPr>
          <w:rFonts w:ascii="Arial" w:eastAsia="Arial" w:hAnsi="Arial" w:cs="Arial"/>
        </w:rPr>
        <w:t xml:space="preserve"> estipula la ley; y, por otro lado, mejorar diversos aspectos encaminados hacia la </w:t>
      </w:r>
      <w:r>
        <w:rPr>
          <w:rFonts w:ascii="Arial" w:eastAsia="Arial" w:hAnsi="Arial" w:cs="Arial"/>
          <w:b/>
        </w:rPr>
        <w:t>apertura</w:t>
      </w:r>
      <w:r>
        <w:rPr>
          <w:rFonts w:ascii="Arial" w:eastAsia="Arial" w:hAnsi="Arial" w:cs="Arial"/>
        </w:rPr>
        <w:t xml:space="preserve"> institucional en la publicación de la información como son: accesibilidad, lenguaje sencillo, bases abiertas, oportunidad, memoria y archivo, y asimismo ofrezca mec</w:t>
      </w:r>
      <w:r>
        <w:rPr>
          <w:rFonts w:ascii="Arial" w:eastAsia="Arial" w:hAnsi="Arial" w:cs="Arial"/>
        </w:rPr>
        <w:t>anismos para la consulta y participación con miras a que la información sea útil y permita a las personas su mayor y mejor aprovechamiento.</w:t>
      </w:r>
    </w:p>
    <w:p w14:paraId="3C800B2A" w14:textId="77777777" w:rsidR="00067C34" w:rsidRDefault="00BA3CD1">
      <w:pPr>
        <w:numPr>
          <w:ilvl w:val="0"/>
          <w:numId w:val="1"/>
        </w:numPr>
        <w:spacing w:line="360" w:lineRule="auto"/>
        <w:jc w:val="both"/>
        <w:rPr>
          <w:rFonts w:ascii="Arial" w:eastAsia="Arial" w:hAnsi="Arial" w:cs="Arial"/>
        </w:rPr>
      </w:pPr>
      <w:r>
        <w:rPr>
          <w:rFonts w:ascii="Arial" w:eastAsia="Arial" w:hAnsi="Arial" w:cs="Arial"/>
        </w:rPr>
        <w:t xml:space="preserve">En las próximas verificaciones, se seguirán realizando un </w:t>
      </w:r>
      <w:r>
        <w:rPr>
          <w:rFonts w:ascii="Arial" w:eastAsia="Arial" w:hAnsi="Arial" w:cs="Arial"/>
          <w:b/>
        </w:rPr>
        <w:t xml:space="preserve">análisis focalizado </w:t>
      </w:r>
      <w:r>
        <w:rPr>
          <w:rFonts w:ascii="Arial" w:eastAsia="Arial" w:hAnsi="Arial" w:cs="Arial"/>
        </w:rPr>
        <w:t xml:space="preserve">de algunas </w:t>
      </w:r>
      <w:r>
        <w:rPr>
          <w:rFonts w:ascii="Arial" w:eastAsia="Arial" w:hAnsi="Arial" w:cs="Arial"/>
          <w:b/>
        </w:rPr>
        <w:t>obligaciones de transparenc</w:t>
      </w:r>
      <w:r>
        <w:rPr>
          <w:rFonts w:ascii="Arial" w:eastAsia="Arial" w:hAnsi="Arial" w:cs="Arial"/>
          <w:b/>
        </w:rPr>
        <w:t>ia</w:t>
      </w:r>
      <w:r>
        <w:rPr>
          <w:rFonts w:ascii="Arial" w:eastAsia="Arial" w:hAnsi="Arial" w:cs="Arial"/>
        </w:rPr>
        <w:t xml:space="preserve"> en los temas que despiertan gran interés en las personas, particularmente las que tienen que ver con la apertura en el uso de los recursos públicos y la rendición de cuentas como son las </w:t>
      </w:r>
      <w:r>
        <w:rPr>
          <w:rFonts w:ascii="Arial" w:eastAsia="Arial" w:hAnsi="Arial" w:cs="Arial"/>
          <w:b/>
        </w:rPr>
        <w:t>contrataciones</w:t>
      </w:r>
      <w:r>
        <w:rPr>
          <w:rFonts w:ascii="Arial" w:eastAsia="Arial" w:hAnsi="Arial" w:cs="Arial"/>
        </w:rPr>
        <w:t xml:space="preserve">, los </w:t>
      </w:r>
      <w:r>
        <w:rPr>
          <w:rFonts w:ascii="Arial" w:eastAsia="Arial" w:hAnsi="Arial" w:cs="Arial"/>
          <w:b/>
        </w:rPr>
        <w:t>programas sociales</w:t>
      </w:r>
      <w:r>
        <w:rPr>
          <w:rFonts w:ascii="Arial" w:eastAsia="Arial" w:hAnsi="Arial" w:cs="Arial"/>
        </w:rPr>
        <w:t xml:space="preserve"> y las versiones públicas de</w:t>
      </w:r>
      <w:r>
        <w:rPr>
          <w:rFonts w:ascii="Arial" w:eastAsia="Arial" w:hAnsi="Arial" w:cs="Arial"/>
        </w:rPr>
        <w:t xml:space="preserve"> las </w:t>
      </w:r>
      <w:r>
        <w:rPr>
          <w:rFonts w:ascii="Arial" w:eastAsia="Arial" w:hAnsi="Arial" w:cs="Arial"/>
          <w:b/>
        </w:rPr>
        <w:t>declaraciones patrimonial, de intereses y fiscal</w:t>
      </w:r>
      <w:r>
        <w:rPr>
          <w:rFonts w:ascii="Arial" w:eastAsia="Arial" w:hAnsi="Arial" w:cs="Arial"/>
        </w:rPr>
        <w:t xml:space="preserve"> de las personas en el servicio público, entre otros.</w:t>
      </w:r>
    </w:p>
    <w:p w14:paraId="17391F28" w14:textId="77777777" w:rsidR="00067C34" w:rsidRDefault="00BA3CD1">
      <w:pPr>
        <w:numPr>
          <w:ilvl w:val="0"/>
          <w:numId w:val="1"/>
        </w:numPr>
        <w:spacing w:line="360" w:lineRule="auto"/>
        <w:jc w:val="both"/>
        <w:rPr>
          <w:rFonts w:ascii="Arial" w:eastAsia="Arial" w:hAnsi="Arial" w:cs="Arial"/>
        </w:rPr>
      </w:pPr>
      <w:r>
        <w:rPr>
          <w:rFonts w:ascii="Arial" w:eastAsia="Arial" w:hAnsi="Arial" w:cs="Arial"/>
        </w:rPr>
        <w:t xml:space="preserve">Finalmente, la Dirección de Estado Abierto, Estudios y Evaluación seguirá con el estudio a los </w:t>
      </w:r>
      <w:r>
        <w:rPr>
          <w:rFonts w:ascii="Arial" w:eastAsia="Arial" w:hAnsi="Arial" w:cs="Arial"/>
          <w:b/>
        </w:rPr>
        <w:t>lineamientos de evaluación</w:t>
      </w:r>
      <w:r>
        <w:rPr>
          <w:rFonts w:ascii="Arial" w:eastAsia="Arial" w:hAnsi="Arial" w:cs="Arial"/>
        </w:rPr>
        <w:t xml:space="preserve"> con el objetivo implementar mejoras, actualizarlos y homologarlos a la normativa aplicable en el Sistema Nacional de Transparencia y en el Sistema Nacional Anticorrupción. </w:t>
      </w:r>
    </w:p>
    <w:p w14:paraId="056CED4B" w14:textId="77777777" w:rsidR="00067C34" w:rsidRDefault="00067C34">
      <w:pPr>
        <w:spacing w:line="360" w:lineRule="auto"/>
        <w:jc w:val="both"/>
        <w:rPr>
          <w:rFonts w:ascii="Arial" w:eastAsia="Arial" w:hAnsi="Arial" w:cs="Arial"/>
        </w:rPr>
      </w:pPr>
    </w:p>
    <w:sectPr w:rsidR="00067C34">
      <w:headerReference w:type="default" r:id="rId24"/>
      <w:footerReference w:type="default" r:id="rId25"/>
      <w:pgSz w:w="12240" w:h="15840"/>
      <w:pgMar w:top="1417" w:right="1183" w:bottom="965"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2BE7B" w14:textId="77777777" w:rsidR="00BA3CD1" w:rsidRDefault="00BA3CD1">
      <w:r>
        <w:separator/>
      </w:r>
    </w:p>
  </w:endnote>
  <w:endnote w:type="continuationSeparator" w:id="0">
    <w:p w14:paraId="4F704E0D" w14:textId="77777777" w:rsidR="00BA3CD1" w:rsidRDefault="00BA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887DA" w14:textId="77777777" w:rsidR="00067C34" w:rsidRDefault="00067C34">
    <w:pPr>
      <w:widowControl w:val="0"/>
      <w:pBdr>
        <w:top w:val="nil"/>
        <w:left w:val="nil"/>
        <w:bottom w:val="nil"/>
        <w:right w:val="nil"/>
        <w:between w:val="nil"/>
      </w:pBdr>
      <w:spacing w:line="276" w:lineRule="auto"/>
      <w:rPr>
        <w:color w:val="000000"/>
      </w:rPr>
    </w:pPr>
  </w:p>
  <w:tbl>
    <w:tblPr>
      <w:tblStyle w:val="affd"/>
      <w:tblW w:w="9356" w:type="dxa"/>
      <w:jc w:val="center"/>
      <w:tblInd w:w="0" w:type="dxa"/>
      <w:tblLayout w:type="fixed"/>
      <w:tblLook w:val="0400" w:firstRow="0" w:lastRow="0" w:firstColumn="0" w:lastColumn="0" w:noHBand="0" w:noVBand="1"/>
    </w:tblPr>
    <w:tblGrid>
      <w:gridCol w:w="5703"/>
      <w:gridCol w:w="3653"/>
    </w:tblGrid>
    <w:tr w:rsidR="00067C34" w14:paraId="5583377C" w14:textId="77777777">
      <w:trPr>
        <w:jc w:val="center"/>
      </w:trPr>
      <w:tc>
        <w:tcPr>
          <w:tcW w:w="5703" w:type="dxa"/>
          <w:shd w:val="clear" w:color="auto" w:fill="70AD47"/>
          <w:tcMar>
            <w:top w:w="0" w:type="dxa"/>
            <w:bottom w:w="0" w:type="dxa"/>
          </w:tcMar>
        </w:tcPr>
        <w:p w14:paraId="5C108FA9" w14:textId="77777777" w:rsidR="00067C34" w:rsidRDefault="00067C34">
          <w:pPr>
            <w:pBdr>
              <w:top w:val="nil"/>
              <w:left w:val="nil"/>
              <w:bottom w:val="nil"/>
              <w:right w:val="nil"/>
              <w:between w:val="nil"/>
            </w:pBdr>
            <w:tabs>
              <w:tab w:val="center" w:pos="4419"/>
              <w:tab w:val="right" w:pos="8838"/>
              <w:tab w:val="center" w:pos="3623"/>
              <w:tab w:val="right" w:pos="7247"/>
            </w:tabs>
            <w:rPr>
              <w:b/>
              <w:smallCaps/>
              <w:color w:val="000000"/>
              <w:sz w:val="18"/>
              <w:szCs w:val="18"/>
            </w:rPr>
          </w:pPr>
        </w:p>
      </w:tc>
      <w:tc>
        <w:tcPr>
          <w:tcW w:w="3653" w:type="dxa"/>
          <w:shd w:val="clear" w:color="auto" w:fill="70AD47"/>
          <w:tcMar>
            <w:top w:w="0" w:type="dxa"/>
            <w:bottom w:w="0" w:type="dxa"/>
          </w:tcMar>
        </w:tcPr>
        <w:p w14:paraId="02641B98" w14:textId="77777777" w:rsidR="00067C34" w:rsidRDefault="00067C34">
          <w:pPr>
            <w:pBdr>
              <w:top w:val="nil"/>
              <w:left w:val="nil"/>
              <w:bottom w:val="nil"/>
              <w:right w:val="nil"/>
              <w:between w:val="nil"/>
            </w:pBdr>
            <w:tabs>
              <w:tab w:val="center" w:pos="4419"/>
              <w:tab w:val="right" w:pos="8838"/>
              <w:tab w:val="center" w:pos="3623"/>
              <w:tab w:val="right" w:pos="7247"/>
            </w:tabs>
            <w:jc w:val="right"/>
            <w:rPr>
              <w:b/>
              <w:smallCaps/>
              <w:color w:val="000000"/>
              <w:sz w:val="18"/>
              <w:szCs w:val="18"/>
            </w:rPr>
          </w:pPr>
        </w:p>
      </w:tc>
    </w:tr>
    <w:tr w:rsidR="00067C34" w14:paraId="0B09131B" w14:textId="77777777">
      <w:trPr>
        <w:jc w:val="center"/>
      </w:trPr>
      <w:tc>
        <w:tcPr>
          <w:tcW w:w="5703" w:type="dxa"/>
          <w:shd w:val="clear" w:color="auto" w:fill="auto"/>
          <w:vAlign w:val="center"/>
        </w:tcPr>
        <w:p w14:paraId="25F482C4" w14:textId="77777777" w:rsidR="00067C34" w:rsidRDefault="00BA3CD1">
          <w:pPr>
            <w:pBdr>
              <w:top w:val="nil"/>
              <w:left w:val="nil"/>
              <w:bottom w:val="nil"/>
              <w:right w:val="nil"/>
              <w:between w:val="nil"/>
            </w:pBdr>
            <w:tabs>
              <w:tab w:val="center" w:pos="4419"/>
              <w:tab w:val="right" w:pos="8838"/>
              <w:tab w:val="center" w:pos="3623"/>
              <w:tab w:val="right" w:pos="7247"/>
            </w:tabs>
            <w:rPr>
              <w:rFonts w:ascii="Arial" w:eastAsia="Arial" w:hAnsi="Arial" w:cs="Arial"/>
              <w:b/>
              <w:smallCaps/>
              <w:color w:val="70AD47"/>
              <w:sz w:val="16"/>
              <w:szCs w:val="16"/>
            </w:rPr>
          </w:pPr>
          <w:r>
            <w:rPr>
              <w:rFonts w:ascii="Arial" w:eastAsia="Arial" w:hAnsi="Arial" w:cs="Arial"/>
              <w:b/>
              <w:smallCaps/>
              <w:color w:val="70AD47"/>
              <w:sz w:val="16"/>
              <w:szCs w:val="16"/>
            </w:rPr>
            <w:t>SUBDIRECCIÓN DE EVALUACIÓN</w:t>
          </w:r>
        </w:p>
      </w:tc>
      <w:tc>
        <w:tcPr>
          <w:tcW w:w="3653" w:type="dxa"/>
          <w:shd w:val="clear" w:color="auto" w:fill="auto"/>
          <w:vAlign w:val="center"/>
        </w:tcPr>
        <w:p w14:paraId="30496734" w14:textId="77777777" w:rsidR="00067C34" w:rsidRDefault="00BA3CD1">
          <w:pPr>
            <w:pBdr>
              <w:top w:val="nil"/>
              <w:left w:val="nil"/>
              <w:bottom w:val="nil"/>
              <w:right w:val="nil"/>
              <w:between w:val="nil"/>
            </w:pBdr>
            <w:tabs>
              <w:tab w:val="center" w:pos="4419"/>
              <w:tab w:val="right" w:pos="8838"/>
              <w:tab w:val="center" w:pos="3623"/>
              <w:tab w:val="right" w:pos="7247"/>
            </w:tabs>
            <w:jc w:val="right"/>
            <w:rPr>
              <w:rFonts w:ascii="Arial" w:eastAsia="Arial" w:hAnsi="Arial" w:cs="Arial"/>
              <w:b/>
              <w:smallCaps/>
              <w:color w:val="70AD47"/>
              <w:sz w:val="16"/>
              <w:szCs w:val="16"/>
            </w:rPr>
          </w:pPr>
          <w:r>
            <w:rPr>
              <w:rFonts w:ascii="Arial" w:eastAsia="Arial" w:hAnsi="Arial" w:cs="Arial"/>
              <w:b/>
              <w:smallCaps/>
              <w:color w:val="70AD47"/>
              <w:sz w:val="16"/>
              <w:szCs w:val="16"/>
            </w:rPr>
            <w:fldChar w:fldCharType="begin"/>
          </w:r>
          <w:r>
            <w:rPr>
              <w:rFonts w:ascii="Arial" w:eastAsia="Arial" w:hAnsi="Arial" w:cs="Arial"/>
              <w:b/>
              <w:smallCaps/>
              <w:color w:val="70AD47"/>
              <w:sz w:val="16"/>
              <w:szCs w:val="16"/>
            </w:rPr>
            <w:instrText>PAGE</w:instrText>
          </w:r>
          <w:r w:rsidR="00060BF7">
            <w:rPr>
              <w:rFonts w:ascii="Arial" w:eastAsia="Arial" w:hAnsi="Arial" w:cs="Arial"/>
              <w:b/>
              <w:smallCaps/>
              <w:color w:val="70AD47"/>
              <w:sz w:val="16"/>
              <w:szCs w:val="16"/>
            </w:rPr>
            <w:fldChar w:fldCharType="separate"/>
          </w:r>
          <w:r w:rsidR="00060BF7">
            <w:rPr>
              <w:rFonts w:ascii="Arial" w:eastAsia="Arial" w:hAnsi="Arial" w:cs="Arial"/>
              <w:b/>
              <w:smallCaps/>
              <w:noProof/>
              <w:color w:val="70AD47"/>
              <w:sz w:val="16"/>
              <w:szCs w:val="16"/>
            </w:rPr>
            <w:t>1</w:t>
          </w:r>
          <w:r>
            <w:rPr>
              <w:rFonts w:ascii="Arial" w:eastAsia="Arial" w:hAnsi="Arial" w:cs="Arial"/>
              <w:b/>
              <w:smallCaps/>
              <w:color w:val="70AD47"/>
              <w:sz w:val="16"/>
              <w:szCs w:val="16"/>
            </w:rPr>
            <w:fldChar w:fldCharType="end"/>
          </w:r>
        </w:p>
      </w:tc>
    </w:tr>
  </w:tbl>
  <w:p w14:paraId="762EA4C8" w14:textId="77777777" w:rsidR="00067C34" w:rsidRDefault="00067C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9246D" w14:textId="77777777" w:rsidR="00BA3CD1" w:rsidRDefault="00BA3CD1">
      <w:r>
        <w:separator/>
      </w:r>
    </w:p>
  </w:footnote>
  <w:footnote w:type="continuationSeparator" w:id="0">
    <w:p w14:paraId="699CD031" w14:textId="77777777" w:rsidR="00BA3CD1" w:rsidRDefault="00BA3CD1">
      <w:r>
        <w:continuationSeparator/>
      </w:r>
    </w:p>
  </w:footnote>
  <w:footnote w:id="1">
    <w:p w14:paraId="642C329F" w14:textId="77777777" w:rsidR="00067C34" w:rsidRDefault="00BA3CD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Publicada por el INEGI en junio de 2020. Ver </w:t>
      </w:r>
      <w:hyperlink r:id="rId1">
        <w:r>
          <w:rPr>
            <w:color w:val="0563C1"/>
            <w:sz w:val="20"/>
            <w:szCs w:val="20"/>
            <w:u w:val="single"/>
          </w:rPr>
          <w:t>http://rendiciondecuentas.org.mx/wp-content/uploads/2020/06/ENAID2019.pdf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69117" w14:textId="77777777" w:rsidR="00067C34" w:rsidRDefault="00BA3CD1">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0" locked="0" layoutInCell="1" hidden="0" allowOverlap="1" wp14:anchorId="4F39FEC9" wp14:editId="7EF04FA4">
          <wp:simplePos x="0" y="0"/>
          <wp:positionH relativeFrom="page">
            <wp:posOffset>0</wp:posOffset>
          </wp:positionH>
          <wp:positionV relativeFrom="page">
            <wp:posOffset>0</wp:posOffset>
          </wp:positionV>
          <wp:extent cx="7791450" cy="1137647"/>
          <wp:effectExtent l="0" t="0" r="0" b="0"/>
          <wp:wrapTopAndBottom distT="0" distB="0"/>
          <wp:docPr id="127784940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10185"/>
                  <a:stretch>
                    <a:fillRect/>
                  </a:stretch>
                </pic:blipFill>
                <pic:spPr>
                  <a:xfrm>
                    <a:off x="0" y="0"/>
                    <a:ext cx="7791450" cy="1137647"/>
                  </a:xfrm>
                  <a:prstGeom prst="rect">
                    <a:avLst/>
                  </a:prstGeom>
                  <a:ln/>
                </pic:spPr>
              </pic:pic>
            </a:graphicData>
          </a:graphic>
        </wp:anchor>
      </w:drawing>
    </w:r>
  </w:p>
  <w:p w14:paraId="7A68FB70" w14:textId="77777777" w:rsidR="00067C34" w:rsidRDefault="00067C34">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751B3"/>
    <w:multiLevelType w:val="multilevel"/>
    <w:tmpl w:val="F3B612D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D51942"/>
    <w:multiLevelType w:val="multilevel"/>
    <w:tmpl w:val="7C867E62"/>
    <w:lvl w:ilvl="0">
      <w:start w:val="1"/>
      <w:numFmt w:val="decimal"/>
      <w:lvlText w:val="%1."/>
      <w:lvlJc w:val="left"/>
      <w:pPr>
        <w:ind w:left="789" w:hanging="357"/>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2" w15:restartNumberingAfterBreak="0">
    <w:nsid w:val="3C0E2DBA"/>
    <w:multiLevelType w:val="multilevel"/>
    <w:tmpl w:val="D390D3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F2862BA"/>
    <w:multiLevelType w:val="multilevel"/>
    <w:tmpl w:val="785CC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C34"/>
    <w:rsid w:val="00060BF7"/>
    <w:rsid w:val="00067C34"/>
    <w:rsid w:val="00BA3C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CE914"/>
  <w15:docId w15:val="{0F2D8CA8-923D-45EF-B092-5C01C969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D9"/>
  </w:style>
  <w:style w:type="paragraph" w:styleId="Ttulo1">
    <w:name w:val="heading 1"/>
    <w:basedOn w:val="Normal"/>
    <w:next w:val="Normal"/>
    <w:link w:val="Ttulo1Car"/>
    <w:uiPriority w:val="9"/>
    <w:qFormat/>
    <w:rsid w:val="004828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unhideWhenUsed/>
    <w:qFormat/>
    <w:rsid w:val="004828F3"/>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semiHidden/>
    <w:unhideWhenUsed/>
    <w:qFormat/>
    <w:rsid w:val="00460926"/>
    <w:pPr>
      <w:keepNext/>
      <w:keepLines/>
      <w:spacing w:before="40" w:line="259" w:lineRule="auto"/>
      <w:outlineLvl w:val="2"/>
    </w:pPr>
    <w:rPr>
      <w:rFonts w:asciiTheme="majorHAnsi" w:eastAsiaTheme="majorEastAsia" w:hAnsiTheme="majorHAnsi" w:cstheme="majorBidi"/>
      <w:color w:val="1F3763" w:themeColor="accent1" w:themeShade="7F"/>
      <w:lang w:val="es-ES_tradnl"/>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3">
    <w:name w:val="Table Normal3"/>
    <w:rsid w:val="00EB0E1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4828F3"/>
    <w:rPr>
      <w:rFonts w:asciiTheme="majorHAnsi" w:eastAsiaTheme="majorEastAsia" w:hAnsiTheme="majorHAnsi" w:cstheme="majorBidi"/>
      <w:color w:val="2F5496" w:themeColor="accent1" w:themeShade="BF"/>
      <w:sz w:val="32"/>
      <w:szCs w:val="32"/>
      <w:lang w:val="es-ES_tradnl"/>
    </w:rPr>
  </w:style>
  <w:style w:type="character" w:customStyle="1" w:styleId="Ttulo2Car">
    <w:name w:val="Título 2 Car"/>
    <w:basedOn w:val="Fuentedeprrafopredeter"/>
    <w:link w:val="Ttulo2"/>
    <w:uiPriority w:val="9"/>
    <w:rsid w:val="004828F3"/>
    <w:rPr>
      <w:rFonts w:asciiTheme="majorHAnsi" w:eastAsiaTheme="majorEastAsia" w:hAnsiTheme="majorHAnsi" w:cstheme="majorBidi"/>
      <w:color w:val="2F5496" w:themeColor="accent1" w:themeShade="BF"/>
      <w:sz w:val="26"/>
      <w:szCs w:val="26"/>
      <w:lang w:val="es-ES_tradnl"/>
    </w:rPr>
  </w:style>
  <w:style w:type="paragraph" w:styleId="Prrafodelista">
    <w:name w:val="List Paragraph"/>
    <w:aliases w:val="AB List 1,Bullet Points,Bullet List,FooterText,numbered,Paragraphe de liste1,List Paragraph1,Bulletr List Paragraph,Párrafo de lista1,CNBV Parrafo1,Parrafo 1"/>
    <w:basedOn w:val="Normal"/>
    <w:link w:val="PrrafodelistaCar"/>
    <w:uiPriority w:val="34"/>
    <w:qFormat/>
    <w:rsid w:val="004828F3"/>
    <w:pPr>
      <w:spacing w:after="160" w:line="259"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39"/>
    <w:rsid w:val="004828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D05E7"/>
    <w:pPr>
      <w:tabs>
        <w:tab w:val="center" w:pos="4419"/>
        <w:tab w:val="right" w:pos="8838"/>
      </w:tabs>
    </w:pPr>
  </w:style>
  <w:style w:type="character" w:customStyle="1" w:styleId="EncabezadoCar">
    <w:name w:val="Encabezado Car"/>
    <w:basedOn w:val="Fuentedeprrafopredeter"/>
    <w:link w:val="Encabezado"/>
    <w:uiPriority w:val="99"/>
    <w:rsid w:val="009D05E7"/>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9D05E7"/>
    <w:pPr>
      <w:tabs>
        <w:tab w:val="center" w:pos="4419"/>
        <w:tab w:val="right" w:pos="8838"/>
      </w:tabs>
    </w:pPr>
  </w:style>
  <w:style w:type="character" w:customStyle="1" w:styleId="PiedepginaCar">
    <w:name w:val="Pie de página Car"/>
    <w:basedOn w:val="Fuentedeprrafopredeter"/>
    <w:link w:val="Piedepgina"/>
    <w:uiPriority w:val="99"/>
    <w:rsid w:val="009D05E7"/>
    <w:rPr>
      <w:rFonts w:ascii="Times New Roman" w:eastAsia="Times New Roman" w:hAnsi="Times New Roman" w:cs="Times New Roman"/>
      <w:lang w:val="es-ES" w:eastAsia="es-ES_tradnl"/>
    </w:rPr>
  </w:style>
  <w:style w:type="paragraph" w:styleId="Textonotapie">
    <w:name w:val="footnote text"/>
    <w:basedOn w:val="Normal"/>
    <w:link w:val="TextonotapieCar"/>
    <w:uiPriority w:val="99"/>
    <w:semiHidden/>
    <w:unhideWhenUsed/>
    <w:rsid w:val="00443C3B"/>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443C3B"/>
    <w:rPr>
      <w:sz w:val="20"/>
      <w:szCs w:val="20"/>
      <w:lang w:val="es-ES_tradnl"/>
    </w:rPr>
  </w:style>
  <w:style w:type="character" w:styleId="Refdenotaalpie">
    <w:name w:val="footnote reference"/>
    <w:basedOn w:val="Fuentedeprrafopredeter"/>
    <w:uiPriority w:val="99"/>
    <w:semiHidden/>
    <w:unhideWhenUsed/>
    <w:rsid w:val="00443C3B"/>
    <w:rPr>
      <w:vertAlign w:val="superscript"/>
    </w:rPr>
  </w:style>
  <w:style w:type="character" w:customStyle="1" w:styleId="normaltextrun">
    <w:name w:val="normaltextrun"/>
    <w:basedOn w:val="Fuentedeprrafopredeter"/>
    <w:rsid w:val="001A6622"/>
  </w:style>
  <w:style w:type="paragraph" w:styleId="TtuloTDC">
    <w:name w:val="TOC Heading"/>
    <w:basedOn w:val="Ttulo1"/>
    <w:next w:val="Normal"/>
    <w:uiPriority w:val="39"/>
    <w:unhideWhenUsed/>
    <w:qFormat/>
    <w:rsid w:val="000D019A"/>
    <w:pPr>
      <w:spacing w:before="480" w:line="276" w:lineRule="auto"/>
      <w:outlineLvl w:val="9"/>
    </w:pPr>
    <w:rPr>
      <w:b/>
      <w:bCs/>
      <w:sz w:val="28"/>
      <w:szCs w:val="28"/>
      <w:lang w:val="es-MX" w:eastAsia="es-MX"/>
    </w:rPr>
  </w:style>
  <w:style w:type="paragraph" w:styleId="TDC1">
    <w:name w:val="toc 1"/>
    <w:basedOn w:val="Normal"/>
    <w:next w:val="Normal"/>
    <w:autoRedefine/>
    <w:uiPriority w:val="39"/>
    <w:unhideWhenUsed/>
    <w:rsid w:val="000D019A"/>
    <w:pPr>
      <w:spacing w:before="120"/>
    </w:pPr>
    <w:rPr>
      <w:rFonts w:asciiTheme="minorHAnsi" w:hAnsiTheme="minorHAnsi"/>
      <w:b/>
      <w:bCs/>
      <w:i/>
      <w:iCs/>
    </w:rPr>
  </w:style>
  <w:style w:type="paragraph" w:styleId="TDC2">
    <w:name w:val="toc 2"/>
    <w:basedOn w:val="Normal"/>
    <w:next w:val="Normal"/>
    <w:autoRedefine/>
    <w:uiPriority w:val="39"/>
    <w:unhideWhenUsed/>
    <w:rsid w:val="000D019A"/>
    <w:pPr>
      <w:spacing w:before="120"/>
      <w:ind w:left="240"/>
    </w:pPr>
    <w:rPr>
      <w:rFonts w:asciiTheme="minorHAnsi" w:hAnsiTheme="minorHAnsi"/>
      <w:b/>
      <w:bCs/>
      <w:sz w:val="22"/>
      <w:szCs w:val="22"/>
    </w:rPr>
  </w:style>
  <w:style w:type="character" w:styleId="Hipervnculo">
    <w:name w:val="Hyperlink"/>
    <w:basedOn w:val="Fuentedeprrafopredeter"/>
    <w:uiPriority w:val="99"/>
    <w:unhideWhenUsed/>
    <w:rsid w:val="000D019A"/>
    <w:rPr>
      <w:color w:val="0563C1" w:themeColor="hyperlink"/>
      <w:u w:val="single"/>
    </w:rPr>
  </w:style>
  <w:style w:type="paragraph" w:styleId="TDC3">
    <w:name w:val="toc 3"/>
    <w:basedOn w:val="Normal"/>
    <w:next w:val="Normal"/>
    <w:autoRedefine/>
    <w:uiPriority w:val="39"/>
    <w:semiHidden/>
    <w:unhideWhenUsed/>
    <w:rsid w:val="000D019A"/>
    <w:pPr>
      <w:ind w:left="480"/>
    </w:pPr>
    <w:rPr>
      <w:rFonts w:asciiTheme="minorHAnsi" w:hAnsiTheme="minorHAnsi"/>
      <w:sz w:val="20"/>
      <w:szCs w:val="20"/>
    </w:rPr>
  </w:style>
  <w:style w:type="paragraph" w:styleId="TDC4">
    <w:name w:val="toc 4"/>
    <w:basedOn w:val="Normal"/>
    <w:next w:val="Normal"/>
    <w:autoRedefine/>
    <w:uiPriority w:val="39"/>
    <w:semiHidden/>
    <w:unhideWhenUsed/>
    <w:rsid w:val="000D019A"/>
    <w:pPr>
      <w:ind w:left="720"/>
    </w:pPr>
    <w:rPr>
      <w:rFonts w:asciiTheme="minorHAnsi" w:hAnsiTheme="minorHAnsi"/>
      <w:sz w:val="20"/>
      <w:szCs w:val="20"/>
    </w:rPr>
  </w:style>
  <w:style w:type="paragraph" w:styleId="TDC5">
    <w:name w:val="toc 5"/>
    <w:basedOn w:val="Normal"/>
    <w:next w:val="Normal"/>
    <w:autoRedefine/>
    <w:uiPriority w:val="39"/>
    <w:semiHidden/>
    <w:unhideWhenUsed/>
    <w:rsid w:val="000D019A"/>
    <w:pPr>
      <w:ind w:left="960"/>
    </w:pPr>
    <w:rPr>
      <w:rFonts w:asciiTheme="minorHAnsi" w:hAnsiTheme="minorHAnsi"/>
      <w:sz w:val="20"/>
      <w:szCs w:val="20"/>
    </w:rPr>
  </w:style>
  <w:style w:type="paragraph" w:styleId="TDC6">
    <w:name w:val="toc 6"/>
    <w:basedOn w:val="Normal"/>
    <w:next w:val="Normal"/>
    <w:autoRedefine/>
    <w:uiPriority w:val="39"/>
    <w:semiHidden/>
    <w:unhideWhenUsed/>
    <w:rsid w:val="000D019A"/>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0D019A"/>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0D019A"/>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0D019A"/>
    <w:pPr>
      <w:ind w:left="1920"/>
    </w:pPr>
    <w:rPr>
      <w:rFonts w:asciiTheme="minorHAnsi" w:hAnsiTheme="minorHAnsi"/>
      <w:sz w:val="20"/>
      <w:szCs w:val="20"/>
    </w:rPr>
  </w:style>
  <w:style w:type="paragraph" w:styleId="Textodeglobo">
    <w:name w:val="Balloon Text"/>
    <w:basedOn w:val="Normal"/>
    <w:link w:val="TextodegloboCar"/>
    <w:uiPriority w:val="99"/>
    <w:semiHidden/>
    <w:unhideWhenUsed/>
    <w:rsid w:val="00F32E3A"/>
    <w:rPr>
      <w:sz w:val="18"/>
      <w:szCs w:val="18"/>
    </w:rPr>
  </w:style>
  <w:style w:type="character" w:customStyle="1" w:styleId="TextodegloboCar">
    <w:name w:val="Texto de globo Car"/>
    <w:basedOn w:val="Fuentedeprrafopredeter"/>
    <w:link w:val="Textodeglobo"/>
    <w:uiPriority w:val="99"/>
    <w:semiHidden/>
    <w:rsid w:val="00F32E3A"/>
    <w:rPr>
      <w:rFonts w:ascii="Times New Roman" w:eastAsia="Times New Roman" w:hAnsi="Times New Roman" w:cs="Times New Roman"/>
      <w:sz w:val="18"/>
      <w:szCs w:val="18"/>
      <w:lang w:val="es-ES" w:eastAsia="es-MX"/>
    </w:rPr>
  </w:style>
  <w:style w:type="paragraph" w:styleId="Revisin">
    <w:name w:val="Revision"/>
    <w:hidden/>
    <w:uiPriority w:val="99"/>
    <w:semiHidden/>
    <w:rsid w:val="00CA136F"/>
  </w:style>
  <w:style w:type="character" w:styleId="Refdecomentario">
    <w:name w:val="annotation reference"/>
    <w:basedOn w:val="Fuentedeprrafopredeter"/>
    <w:uiPriority w:val="99"/>
    <w:semiHidden/>
    <w:unhideWhenUsed/>
    <w:rsid w:val="00217E5F"/>
    <w:rPr>
      <w:sz w:val="16"/>
      <w:szCs w:val="16"/>
    </w:rPr>
  </w:style>
  <w:style w:type="paragraph" w:styleId="Textocomentario">
    <w:name w:val="annotation text"/>
    <w:basedOn w:val="Normal"/>
    <w:link w:val="TextocomentarioCar"/>
    <w:uiPriority w:val="99"/>
    <w:semiHidden/>
    <w:unhideWhenUsed/>
    <w:rsid w:val="00217E5F"/>
    <w:rPr>
      <w:sz w:val="20"/>
      <w:szCs w:val="20"/>
    </w:rPr>
  </w:style>
  <w:style w:type="character" w:customStyle="1" w:styleId="TextocomentarioCar">
    <w:name w:val="Texto comentario Car"/>
    <w:basedOn w:val="Fuentedeprrafopredeter"/>
    <w:link w:val="Textocomentario"/>
    <w:uiPriority w:val="99"/>
    <w:semiHidden/>
    <w:rsid w:val="00217E5F"/>
    <w:rPr>
      <w:rFonts w:ascii="Times New Roman" w:eastAsia="Times New Roman" w:hAnsi="Times New Roman" w:cs="Times New Roman"/>
      <w:sz w:val="20"/>
      <w:szCs w:val="20"/>
      <w:lang w:val="es-ES" w:eastAsia="es-MX"/>
    </w:rPr>
  </w:style>
  <w:style w:type="paragraph" w:styleId="Asuntodelcomentario">
    <w:name w:val="annotation subject"/>
    <w:basedOn w:val="Textocomentario"/>
    <w:next w:val="Textocomentario"/>
    <w:link w:val="AsuntodelcomentarioCar"/>
    <w:uiPriority w:val="99"/>
    <w:semiHidden/>
    <w:unhideWhenUsed/>
    <w:rsid w:val="00FB7E72"/>
    <w:rPr>
      <w:b/>
      <w:bCs/>
    </w:rPr>
  </w:style>
  <w:style w:type="character" w:customStyle="1" w:styleId="AsuntodelcomentarioCar">
    <w:name w:val="Asunto del comentario Car"/>
    <w:basedOn w:val="TextocomentarioCar"/>
    <w:link w:val="Asuntodelcomentario"/>
    <w:uiPriority w:val="99"/>
    <w:semiHidden/>
    <w:rsid w:val="00FB7E72"/>
    <w:rPr>
      <w:rFonts w:ascii="Times New Roman" w:eastAsia="Times New Roman" w:hAnsi="Times New Roman" w:cs="Times New Roman"/>
      <w:b/>
      <w:bCs/>
      <w:sz w:val="20"/>
      <w:szCs w:val="20"/>
      <w:lang w:val="es-ES" w:eastAsia="es-MX"/>
    </w:rPr>
  </w:style>
  <w:style w:type="character" w:customStyle="1" w:styleId="PrrafodelistaCar">
    <w:name w:val="Párrafo de lista Car"/>
    <w:aliases w:val="AB List 1 Car,Bullet Points Car,Bullet List Car,FooterText Car,numbered Car,Paragraphe de liste1 Car,List Paragraph1 Car,Bulletr List Paragraph Car,Párrafo de lista1 Car,CNBV Parrafo1 Car,Parrafo 1 Car"/>
    <w:link w:val="Prrafodelista"/>
    <w:uiPriority w:val="34"/>
    <w:rsid w:val="0074287C"/>
    <w:rPr>
      <w:sz w:val="22"/>
      <w:szCs w:val="22"/>
      <w:lang w:val="es-ES"/>
    </w:rPr>
  </w:style>
  <w:style w:type="character" w:customStyle="1" w:styleId="Ttulo3Car">
    <w:name w:val="Título 3 Car"/>
    <w:basedOn w:val="Fuentedeprrafopredeter"/>
    <w:link w:val="Ttulo3"/>
    <w:uiPriority w:val="9"/>
    <w:rsid w:val="00460926"/>
    <w:rPr>
      <w:rFonts w:asciiTheme="majorHAnsi" w:eastAsiaTheme="majorEastAsia" w:hAnsiTheme="majorHAnsi" w:cstheme="majorBidi"/>
      <w:color w:val="1F3763" w:themeColor="accent1" w:themeShade="7F"/>
      <w:lang w:val="es-ES_tradnl"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70" w:type="dxa"/>
        <w:right w:w="70"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70" w:type="dxa"/>
        <w:right w:w="70" w:type="dxa"/>
      </w:tblCellMar>
    </w:tbl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tblPr>
      <w:tblStyleRowBandSize w:val="1"/>
      <w:tblStyleColBandSize w:val="1"/>
      <w:tblCellMar>
        <w:left w:w="115" w:type="dxa"/>
        <w:right w:w="115" w:type="dxa"/>
      </w:tblCellMar>
    </w:tblPr>
  </w:style>
  <w:style w:type="table" w:customStyle="1" w:styleId="a6">
    <w:basedOn w:val="Tablanormal"/>
    <w:tblPr>
      <w:tblStyleRowBandSize w:val="1"/>
      <w:tblStyleColBandSize w:val="1"/>
      <w:tblCellMar>
        <w:left w:w="115" w:type="dxa"/>
        <w:right w:w="115" w:type="dxa"/>
      </w:tblCellMar>
    </w:tblPr>
  </w:style>
  <w:style w:type="table" w:customStyle="1" w:styleId="a7">
    <w:basedOn w:val="Tablanormal"/>
    <w:tblPr>
      <w:tblStyleRowBandSize w:val="1"/>
      <w:tblStyleColBandSize w:val="1"/>
      <w:tblCellMar>
        <w:left w:w="115" w:type="dxa"/>
        <w:right w:w="115" w:type="dxa"/>
      </w:tblCellMar>
    </w:tblPr>
  </w:style>
  <w:style w:type="table" w:customStyle="1" w:styleId="a8">
    <w:basedOn w:val="Tablanormal"/>
    <w:tblPr>
      <w:tblStyleRowBandSize w:val="1"/>
      <w:tblStyleColBandSize w:val="1"/>
      <w:tblCellMar>
        <w:left w:w="115" w:type="dxa"/>
        <w:right w:w="115" w:type="dxa"/>
      </w:tblCellMar>
    </w:tblPr>
  </w:style>
  <w:style w:type="table" w:customStyle="1" w:styleId="a9">
    <w:basedOn w:val="Tablanormal"/>
    <w:tblPr>
      <w:tblStyleRowBandSize w:val="1"/>
      <w:tblStyleColBandSize w:val="1"/>
      <w:tblCellMar>
        <w:left w:w="115" w:type="dxa"/>
        <w:right w:w="115" w:type="dxa"/>
      </w:tblCellMar>
    </w:tblPr>
  </w:style>
  <w:style w:type="table" w:customStyle="1" w:styleId="aa">
    <w:basedOn w:val="Tablanormal"/>
    <w:tblPr>
      <w:tblStyleRowBandSize w:val="1"/>
      <w:tblStyleColBandSize w:val="1"/>
      <w:tblCellMar>
        <w:left w:w="115" w:type="dxa"/>
        <w:right w:w="115" w:type="dxa"/>
      </w:tblCellMar>
    </w:tblPr>
  </w:style>
  <w:style w:type="table" w:customStyle="1" w:styleId="ab">
    <w:basedOn w:val="Tablanormal"/>
    <w:tblPr>
      <w:tblStyleRowBandSize w:val="1"/>
      <w:tblStyleColBandSize w:val="1"/>
      <w:tblCellMar>
        <w:left w:w="115" w:type="dxa"/>
        <w:right w:w="115" w:type="dxa"/>
      </w:tblCellMar>
    </w:tblPr>
  </w:style>
  <w:style w:type="table" w:customStyle="1" w:styleId="ac">
    <w:basedOn w:val="Tablanormal"/>
    <w:tblPr>
      <w:tblStyleRowBandSize w:val="1"/>
      <w:tblStyleColBandSize w:val="1"/>
      <w:tblCellMar>
        <w:top w:w="100" w:type="dxa"/>
        <w:left w:w="100" w:type="dxa"/>
        <w:bottom w:w="100" w:type="dxa"/>
        <w:right w:w="100" w:type="dxa"/>
      </w:tblCellMar>
    </w:tblPr>
  </w:style>
  <w:style w:type="table" w:customStyle="1" w:styleId="ad">
    <w:basedOn w:val="Tablanormal"/>
    <w:tblPr>
      <w:tblStyleRowBandSize w:val="1"/>
      <w:tblStyleColBandSize w:val="1"/>
      <w:tblCellMar>
        <w:top w:w="144" w:type="dxa"/>
        <w:left w:w="115" w:type="dxa"/>
        <w:bottom w:w="144" w:type="dxa"/>
        <w:right w:w="115" w:type="dxa"/>
      </w:tblCellMar>
    </w:tblPr>
  </w:style>
  <w:style w:type="table" w:customStyle="1" w:styleId="ae">
    <w:basedOn w:val="Tablanormal"/>
    <w:tblPr>
      <w:tblStyleRowBandSize w:val="1"/>
      <w:tblStyleColBandSize w:val="1"/>
      <w:tblInd w:w="0" w:type="nil"/>
      <w:tblCellMar>
        <w:top w:w="144" w:type="dxa"/>
        <w:left w:w="115" w:type="dxa"/>
        <w:bottom w:w="144" w:type="dxa"/>
        <w:right w:w="115" w:type="dxa"/>
      </w:tblCellMar>
    </w:tblPr>
  </w:style>
  <w:style w:type="table" w:customStyle="1" w:styleId="af">
    <w:basedOn w:val="Tablanormal"/>
    <w:tblPr>
      <w:tblStyleRowBandSize w:val="1"/>
      <w:tblStyleColBandSize w:val="1"/>
      <w:tblInd w:w="0" w:type="nil"/>
      <w:tblCellMar>
        <w:top w:w="144" w:type="dxa"/>
        <w:left w:w="115" w:type="dxa"/>
        <w:bottom w:w="144" w:type="dxa"/>
        <w:right w:w="115" w:type="dxa"/>
      </w:tblCellMar>
    </w:tblPr>
  </w:style>
  <w:style w:type="table" w:customStyle="1" w:styleId="af0">
    <w:basedOn w:val="Tablanormal"/>
    <w:tblPr>
      <w:tblStyleRowBandSize w:val="1"/>
      <w:tblStyleColBandSize w:val="1"/>
      <w:tblInd w:w="0" w:type="nil"/>
      <w:tblCellMar>
        <w:top w:w="144" w:type="dxa"/>
        <w:left w:w="115" w:type="dxa"/>
        <w:bottom w:w="144" w:type="dxa"/>
        <w:right w:w="115" w:type="dxa"/>
      </w:tblCellMar>
    </w:tblPr>
  </w:style>
  <w:style w:type="table" w:customStyle="1" w:styleId="af1">
    <w:basedOn w:val="Tablanormal"/>
    <w:tblPr>
      <w:tblStyleRowBandSize w:val="1"/>
      <w:tblStyleColBandSize w:val="1"/>
      <w:tblInd w:w="0" w:type="nil"/>
      <w:tblCellMar>
        <w:top w:w="144" w:type="dxa"/>
        <w:left w:w="115" w:type="dxa"/>
        <w:bottom w:w="144" w:type="dxa"/>
        <w:right w:w="115" w:type="dxa"/>
      </w:tblCellMar>
    </w:tblPr>
  </w:style>
  <w:style w:type="table" w:customStyle="1" w:styleId="af2">
    <w:basedOn w:val="Tablanormal"/>
    <w:tblPr>
      <w:tblStyleRowBandSize w:val="1"/>
      <w:tblStyleColBandSize w:val="1"/>
      <w:tblInd w:w="0" w:type="nil"/>
      <w:tblCellMar>
        <w:top w:w="144" w:type="dxa"/>
        <w:left w:w="115" w:type="dxa"/>
        <w:bottom w:w="144" w:type="dxa"/>
        <w:right w:w="115" w:type="dxa"/>
      </w:tblCellMar>
    </w:tblPr>
  </w:style>
  <w:style w:type="table" w:customStyle="1" w:styleId="af3">
    <w:basedOn w:val="Tablanormal"/>
    <w:tblPr>
      <w:tblStyleRowBandSize w:val="1"/>
      <w:tblStyleColBandSize w:val="1"/>
      <w:tblInd w:w="0" w:type="nil"/>
      <w:tblCellMar>
        <w:top w:w="144" w:type="dxa"/>
        <w:left w:w="115" w:type="dxa"/>
        <w:bottom w:w="144" w:type="dxa"/>
        <w:right w:w="115" w:type="dxa"/>
      </w:tblCellMar>
    </w:tblPr>
  </w:style>
  <w:style w:type="table" w:customStyle="1" w:styleId="af4">
    <w:basedOn w:val="Tablanormal"/>
    <w:tblPr>
      <w:tblStyleRowBandSize w:val="1"/>
      <w:tblStyleColBandSize w:val="1"/>
      <w:tblInd w:w="0" w:type="nil"/>
      <w:tblCellMar>
        <w:top w:w="144" w:type="dxa"/>
        <w:left w:w="115" w:type="dxa"/>
        <w:bottom w:w="144" w:type="dxa"/>
        <w:right w:w="115" w:type="dxa"/>
      </w:tblCellMar>
    </w:tblPr>
  </w:style>
  <w:style w:type="table" w:customStyle="1" w:styleId="af5">
    <w:basedOn w:val="Tablanormal"/>
    <w:tblPr>
      <w:tblStyleRowBandSize w:val="1"/>
      <w:tblStyleColBandSize w:val="1"/>
      <w:tblInd w:w="0" w:type="nil"/>
      <w:tblCellMar>
        <w:top w:w="144" w:type="dxa"/>
        <w:left w:w="115" w:type="dxa"/>
        <w:bottom w:w="144" w:type="dxa"/>
        <w:right w:w="115" w:type="dxa"/>
      </w:tblCellMar>
    </w:tblPr>
  </w:style>
  <w:style w:type="table" w:customStyle="1" w:styleId="af6">
    <w:basedOn w:val="Tablanormal"/>
    <w:tblPr>
      <w:tblStyleRowBandSize w:val="1"/>
      <w:tblStyleColBandSize w:val="1"/>
      <w:tblInd w:w="0" w:type="nil"/>
      <w:tblCellMar>
        <w:top w:w="144" w:type="dxa"/>
        <w:left w:w="115" w:type="dxa"/>
        <w:bottom w:w="144" w:type="dxa"/>
        <w:right w:w="115" w:type="dxa"/>
      </w:tblCellMar>
    </w:tblPr>
  </w:style>
  <w:style w:type="table" w:customStyle="1" w:styleId="af7">
    <w:basedOn w:val="Tablanormal"/>
    <w:tblPr>
      <w:tblStyleRowBandSize w:val="1"/>
      <w:tblStyleColBandSize w:val="1"/>
      <w:tblInd w:w="0" w:type="nil"/>
      <w:tblCellMar>
        <w:top w:w="144" w:type="dxa"/>
        <w:left w:w="115" w:type="dxa"/>
        <w:bottom w:w="144" w:type="dxa"/>
        <w:right w:w="115" w:type="dxa"/>
      </w:tblCellMar>
    </w:tblPr>
  </w:style>
  <w:style w:type="table" w:customStyle="1" w:styleId="af8">
    <w:basedOn w:val="Tablanormal"/>
    <w:tblPr>
      <w:tblStyleRowBandSize w:val="1"/>
      <w:tblStyleColBandSize w:val="1"/>
      <w:tblInd w:w="0" w:type="nil"/>
      <w:tblCellMar>
        <w:top w:w="144" w:type="dxa"/>
        <w:left w:w="115" w:type="dxa"/>
        <w:bottom w:w="144" w:type="dxa"/>
        <w:right w:w="115" w:type="dxa"/>
      </w:tblCellMar>
    </w:tblPr>
  </w:style>
  <w:style w:type="table" w:customStyle="1" w:styleId="af9">
    <w:basedOn w:val="Tablanormal"/>
    <w:tblPr>
      <w:tblStyleRowBandSize w:val="1"/>
      <w:tblStyleColBandSize w:val="1"/>
      <w:tblInd w:w="0" w:type="nil"/>
      <w:tblCellMar>
        <w:top w:w="144" w:type="dxa"/>
        <w:left w:w="115" w:type="dxa"/>
        <w:bottom w:w="144" w:type="dxa"/>
        <w:right w:w="115" w:type="dxa"/>
      </w:tblCellMar>
    </w:tblPr>
  </w:style>
  <w:style w:type="table" w:customStyle="1" w:styleId="afa">
    <w:basedOn w:val="Tablanormal"/>
    <w:tblPr>
      <w:tblStyleRowBandSize w:val="1"/>
      <w:tblStyleColBandSize w:val="1"/>
      <w:tblInd w:w="0" w:type="nil"/>
      <w:tblCellMar>
        <w:top w:w="144" w:type="dxa"/>
        <w:left w:w="115" w:type="dxa"/>
        <w:bottom w:w="144" w:type="dxa"/>
        <w:right w:w="115" w:type="dxa"/>
      </w:tblCellMar>
    </w:tblPr>
  </w:style>
  <w:style w:type="table" w:customStyle="1" w:styleId="afb">
    <w:basedOn w:val="Tablanormal"/>
    <w:tblPr>
      <w:tblStyleRowBandSize w:val="1"/>
      <w:tblStyleColBandSize w:val="1"/>
      <w:tblInd w:w="0" w:type="nil"/>
      <w:tblCellMar>
        <w:top w:w="144" w:type="dxa"/>
        <w:left w:w="115" w:type="dxa"/>
        <w:bottom w:w="144" w:type="dxa"/>
        <w:right w:w="115" w:type="dxa"/>
      </w:tblCellMar>
    </w:tblPr>
  </w:style>
  <w:style w:type="table" w:customStyle="1" w:styleId="afc">
    <w:basedOn w:val="Tablanormal"/>
    <w:tblPr>
      <w:tblStyleRowBandSize w:val="1"/>
      <w:tblStyleColBandSize w:val="1"/>
      <w:tblInd w:w="0" w:type="nil"/>
      <w:tblCellMar>
        <w:top w:w="144" w:type="dxa"/>
        <w:left w:w="115" w:type="dxa"/>
        <w:bottom w:w="144" w:type="dxa"/>
        <w:right w:w="115" w:type="dxa"/>
      </w:tblCellMar>
    </w:tblPr>
  </w:style>
  <w:style w:type="table" w:customStyle="1" w:styleId="TableNormal1">
    <w:name w:val="Table Normal1"/>
    <w:rsid w:val="003A1472"/>
    <w:tblPr>
      <w:tblCellMar>
        <w:top w:w="0" w:type="dxa"/>
        <w:left w:w="0" w:type="dxa"/>
        <w:bottom w:w="0" w:type="dxa"/>
        <w:right w:w="0" w:type="dxa"/>
      </w:tblCellMar>
    </w:tblPr>
  </w:style>
  <w:style w:type="table" w:customStyle="1" w:styleId="TableNormal2">
    <w:name w:val="Table Normal2"/>
    <w:rsid w:val="003A1472"/>
    <w:tblPr>
      <w:tblCellMar>
        <w:top w:w="0" w:type="dxa"/>
        <w:left w:w="0" w:type="dxa"/>
        <w:bottom w:w="0" w:type="dxa"/>
        <w:right w:w="0" w:type="dxa"/>
      </w:tblCellMar>
    </w:tblPr>
  </w:style>
  <w:style w:type="table" w:customStyle="1" w:styleId="afd">
    <w:basedOn w:val="TableNormal"/>
    <w:tblPr>
      <w:tblStyleRowBandSize w:val="1"/>
      <w:tblStyleColBandSize w:val="1"/>
      <w:tblCellMar>
        <w:top w:w="144" w:type="dxa"/>
        <w:left w:w="115" w:type="dxa"/>
        <w:bottom w:w="144" w:type="dxa"/>
        <w:right w:w="115" w:type="dxa"/>
      </w:tblCellMar>
    </w:tblPr>
  </w:style>
  <w:style w:type="table" w:customStyle="1" w:styleId="afe">
    <w:basedOn w:val="TableNormal"/>
    <w:tblPr>
      <w:tblStyleRowBandSize w:val="1"/>
      <w:tblStyleColBandSize w:val="1"/>
      <w:tblCellMar>
        <w:top w:w="144" w:type="dxa"/>
        <w:left w:w="115" w:type="dxa"/>
        <w:bottom w:w="144" w:type="dxa"/>
        <w:right w:w="115" w:type="dxa"/>
      </w:tblCellMar>
    </w:tblPr>
  </w:style>
  <w:style w:type="table" w:customStyle="1" w:styleId="aff">
    <w:basedOn w:val="TableNormal"/>
    <w:tblPr>
      <w:tblStyleRowBandSize w:val="1"/>
      <w:tblStyleColBandSize w:val="1"/>
      <w:tblCellMar>
        <w:top w:w="144" w:type="dxa"/>
        <w:left w:w="115" w:type="dxa"/>
        <w:bottom w:w="144" w:type="dxa"/>
        <w:right w:w="115" w:type="dxa"/>
      </w:tblCellMar>
    </w:tblPr>
  </w:style>
  <w:style w:type="table" w:customStyle="1" w:styleId="aff0">
    <w:basedOn w:val="TableNormal"/>
    <w:tblPr>
      <w:tblStyleRowBandSize w:val="1"/>
      <w:tblStyleColBandSize w:val="1"/>
      <w:tblCellMar>
        <w:top w:w="144" w:type="dxa"/>
        <w:left w:w="115" w:type="dxa"/>
        <w:bottom w:w="144" w:type="dxa"/>
        <w:right w:w="115" w:type="dxa"/>
      </w:tblCellMar>
    </w:tblPr>
  </w:style>
  <w:style w:type="table" w:customStyle="1" w:styleId="aff1">
    <w:basedOn w:val="TableNormal"/>
    <w:tblPr>
      <w:tblStyleRowBandSize w:val="1"/>
      <w:tblStyleColBandSize w:val="1"/>
      <w:tblCellMar>
        <w:top w:w="144" w:type="dxa"/>
        <w:left w:w="115" w:type="dxa"/>
        <w:bottom w:w="144" w:type="dxa"/>
        <w:right w:w="115"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44" w:type="dxa"/>
        <w:left w:w="115" w:type="dxa"/>
        <w:bottom w:w="144" w:type="dxa"/>
        <w:right w:w="115" w:type="dxa"/>
      </w:tblCellMar>
    </w:tblPr>
  </w:style>
  <w:style w:type="table" w:customStyle="1" w:styleId="aff5">
    <w:basedOn w:val="TableNormal"/>
    <w:tblPr>
      <w:tblStyleRowBandSize w:val="1"/>
      <w:tblStyleColBandSize w:val="1"/>
      <w:tblCellMar>
        <w:top w:w="144" w:type="dxa"/>
        <w:left w:w="115" w:type="dxa"/>
        <w:bottom w:w="144" w:type="dxa"/>
        <w:right w:w="115" w:type="dxa"/>
      </w:tblCellMar>
    </w:tblPr>
  </w:style>
  <w:style w:type="table" w:customStyle="1" w:styleId="aff6">
    <w:basedOn w:val="TableNormal"/>
    <w:tblPr>
      <w:tblStyleRowBandSize w:val="1"/>
      <w:tblStyleColBandSize w:val="1"/>
      <w:tblCellMar>
        <w:top w:w="144" w:type="dxa"/>
        <w:left w:w="115" w:type="dxa"/>
        <w:bottom w:w="144" w:type="dxa"/>
        <w:right w:w="115" w:type="dxa"/>
      </w:tblCellMar>
    </w:tblPr>
  </w:style>
  <w:style w:type="table" w:customStyle="1" w:styleId="aff7">
    <w:basedOn w:val="TableNormal"/>
    <w:tblPr>
      <w:tblStyleRowBandSize w:val="1"/>
      <w:tblStyleColBandSize w:val="1"/>
      <w:tblCellMar>
        <w:top w:w="144" w:type="dxa"/>
        <w:left w:w="115" w:type="dxa"/>
        <w:bottom w:w="144" w:type="dxa"/>
        <w:right w:w="115" w:type="dxa"/>
      </w:tblCellMar>
    </w:tblPr>
  </w:style>
  <w:style w:type="table" w:customStyle="1" w:styleId="aff8">
    <w:basedOn w:val="TableNormal"/>
    <w:tblPr>
      <w:tblStyleRowBandSize w:val="1"/>
      <w:tblStyleColBandSize w:val="1"/>
      <w:tblCellMar>
        <w:top w:w="144" w:type="dxa"/>
        <w:left w:w="115" w:type="dxa"/>
        <w:bottom w:w="144" w:type="dxa"/>
        <w:right w:w="115" w:type="dxa"/>
      </w:tblCellMar>
    </w:tblPr>
  </w:style>
  <w:style w:type="table" w:customStyle="1" w:styleId="aff9">
    <w:basedOn w:val="TableNormal"/>
    <w:tblPr>
      <w:tblStyleRowBandSize w:val="1"/>
      <w:tblStyleColBandSize w:val="1"/>
      <w:tblCellMar>
        <w:top w:w="144" w:type="dxa"/>
        <w:left w:w="115" w:type="dxa"/>
        <w:bottom w:w="144" w:type="dxa"/>
        <w:right w:w="115" w:type="dxa"/>
      </w:tblCellMar>
    </w:tblPr>
  </w:style>
  <w:style w:type="table" w:customStyle="1" w:styleId="affa">
    <w:basedOn w:val="TableNormal"/>
    <w:tblPr>
      <w:tblStyleRowBandSize w:val="1"/>
      <w:tblStyleColBandSize w:val="1"/>
      <w:tblCellMar>
        <w:top w:w="144" w:type="dxa"/>
        <w:left w:w="115" w:type="dxa"/>
        <w:bottom w:w="144" w:type="dxa"/>
        <w:right w:w="115" w:type="dxa"/>
      </w:tblCellMar>
    </w:tblPr>
  </w:style>
  <w:style w:type="table" w:customStyle="1" w:styleId="affb">
    <w:basedOn w:val="TableNormal"/>
    <w:tblPr>
      <w:tblStyleRowBandSize w:val="1"/>
      <w:tblStyleColBandSize w:val="1"/>
      <w:tblCellMar>
        <w:top w:w="144" w:type="dxa"/>
        <w:left w:w="115" w:type="dxa"/>
        <w:bottom w:w="144"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10" Type="http://schemas.openxmlformats.org/officeDocument/2006/relationships/chart" Target="charts/chart1.xml"/><Relationship Id="rId19" Type="http://schemas.openxmlformats.org/officeDocument/2006/relationships/hyperlink" Target="http://morenaciudaddemexico.mx/transparenci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endiciondecuentas.org.mx/wp-content/uploads/2020/06/ENAID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https://infocm.sharepoint.com/sites/deaee.info/Documentos%20compartidos/Subdirecci&#243;n%20de%20Evaluaci&#243;n/2020/Evaluaci&#243;n%202020/3ra%20Evaluaci&#243;n%202020/Contrataciones/Fracciones%20de%20contrataciones%20(2da%20y%203ra)%20-%20119%20SO.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https://infocm.sharepoint.com/sites/deaee.info/Documentos%20compartidos/Subdirecci&#243;n%20de%20Evaluaci&#243;n/2020/Evaluaci&#243;n%202020/3ra%20Evaluaci&#243;n%202020/Contrataciones/Fracciones%20de%20contrataciones%20(2da%20y%203ra)%20-%20119%20SO.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https://infocm.sharepoint.com/sites/deaee.info/Documentos%20compartidos/Subdirecci&#243;n%20de%20Evaluaci&#243;n/2020/Evaluaci&#243;n%202020/3ra%20Evaluaci&#243;n%202020/3ra%20evaluaci&#243;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infocm.sharepoint.com/sites/deaee.info/Documentos%20compartidos/Subdirecci&#243;n%20de%20Evaluaci&#243;n/2020/Evaluaci&#243;n%202020/3ra%20Evaluaci&#243;n%202020/3ra%20evaluaci&#243;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oleObject" Target="https://infocm.sharepoint.com/sites/deaee.info/Documentos%20compartidos/Subdirecci&#243;n%20de%20Evaluaci&#243;n/2020/Evaluaci&#243;n%202020/3ra%20Evaluaci&#243;n%202020/3ra%20evaluaci&#243;n.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 dinámica1</c:name>
    <c:fmtId val="-1"/>
  </c:pivotSource>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t>tercera evaluación vinculante 2020 Nivel de cumplimiento</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title>
    <c:autoTitleDeleted val="0"/>
    <c:pivotFmts>
      <c:pivotFmt>
        <c:idx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circle"/>
          <c:size val="6"/>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3"/>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4"/>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5"/>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7"/>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8"/>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2"/>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3"/>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4"/>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816-4ACF-B471-D272F9F9EE5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816-4ACF-B471-D272F9F9EE5F}"/>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4816-4ACF-B471-D272F9F9EE5F}"/>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4816-4ACF-B471-D272F9F9EE5F}"/>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ABAFFA9D-48AF-47E4-8E72-836392B2191B}" type="CATEGORYNAME">
                      <a:rPr lang="en-US"/>
                      <a:pPr>
                        <a:defRPr/>
                      </a:pPr>
                      <a:t>[NOMBRE DE CATEGORÍA]</a:t>
                    </a:fld>
                    <a:r>
                      <a:rPr lang="en-US"/>
                      <a:t>, </a:t>
                    </a:r>
                    <a:fld id="{F944238E-515B-409D-A91C-1A964C90D5D3}" type="VALUE">
                      <a:rPr lang="en-US"/>
                      <a:pPr>
                        <a:defRPr/>
                      </a:pPr>
                      <a:t>[VALOR]</a:t>
                    </a:fld>
                    <a:r>
                      <a:rPr lang="en-US"/>
                      <a:t> SO = 53%</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816-4ACF-B471-D272F9F9EE5F}"/>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FF470192-BE1F-4453-8634-517B797A71E7}" type="CATEGORYNAME">
                      <a:rPr lang="en-US"/>
                      <a:pPr>
                        <a:defRPr>
                          <a:solidFill>
                            <a:schemeClr val="accent1"/>
                          </a:solidFill>
                        </a:defRPr>
                      </a:pPr>
                      <a:t>[NOMBRE DE CATEGORÍA]</a:t>
                    </a:fld>
                    <a:r>
                      <a:rPr lang="en-US"/>
                      <a:t>, </a:t>
                    </a:r>
                    <a:fld id="{9E59F009-CA14-440F-898A-64F52F16574D}" type="VALUE">
                      <a:rPr lang="en-US"/>
                      <a:pPr>
                        <a:defRPr>
                          <a:solidFill>
                            <a:schemeClr val="accent1"/>
                          </a:solidFill>
                        </a:defRPr>
                      </a:pPr>
                      <a:t>[VALOR]</a:t>
                    </a:fld>
                    <a:r>
                      <a:rPr lang="en-US"/>
                      <a:t> SO = 24%</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816-4ACF-B471-D272F9F9EE5F}"/>
                </c:ext>
              </c:extLst>
            </c:dLbl>
            <c:dLbl>
              <c:idx val="2"/>
              <c:layout>
                <c:manualLayout>
                  <c:x val="2.0912073490813141E-3"/>
                  <c:y val="5.8755468066491665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3BF597EE-90EA-49D7-871D-A3A2ABF35C2C}" type="CATEGORYNAME">
                      <a:rPr lang="en-US"/>
                      <a:pPr>
                        <a:defRPr>
                          <a:solidFill>
                            <a:schemeClr val="accent1"/>
                          </a:solidFill>
                        </a:defRPr>
                      </a:pPr>
                      <a:t>[NOMBRE DE CATEGORÍA]</a:t>
                    </a:fld>
                    <a:r>
                      <a:rPr lang="en-US"/>
                      <a:t>, </a:t>
                    </a:r>
                    <a:fld id="{210D71E7-2D96-4A1C-A147-7E5977DE4D3C}" type="VALUE">
                      <a:rPr lang="en-US"/>
                      <a:pPr>
                        <a:defRPr>
                          <a:solidFill>
                            <a:schemeClr val="accent1"/>
                          </a:solidFill>
                        </a:defRPr>
                      </a:pPr>
                      <a:t>[VALOR]</a:t>
                    </a:fld>
                    <a:r>
                      <a:rPr lang="en-US"/>
                      <a:t> SO = 6%</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816-4ACF-B471-D272F9F9EE5F}"/>
                </c:ext>
              </c:extLst>
            </c:dLbl>
            <c:dLbl>
              <c:idx val="3"/>
              <c:layout>
                <c:manualLayout>
                  <c:x val="0.20462423447069117"/>
                  <c:y val="0.1208905657626130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E63D7696-B15B-44DB-8099-FACB08E42682}" type="CATEGORYNAME">
                      <a:rPr lang="en-US"/>
                      <a:pPr>
                        <a:defRPr>
                          <a:solidFill>
                            <a:schemeClr val="accent1"/>
                          </a:solidFill>
                        </a:defRPr>
                      </a:pPr>
                      <a:t>[NOMBRE DE CATEGORÍA]</a:t>
                    </a:fld>
                    <a:r>
                      <a:rPr lang="en-US"/>
                      <a:t>, </a:t>
                    </a:r>
                    <a:fld id="{0FD031EB-9C75-4677-BAB0-43E81B1E71DD}" type="VALUE">
                      <a:rPr lang="en-US"/>
                      <a:pPr>
                        <a:defRPr>
                          <a:solidFill>
                            <a:schemeClr val="accent1"/>
                          </a:solidFill>
                        </a:defRPr>
                      </a:pPr>
                      <a:t>[VALOR]</a:t>
                    </a:fld>
                    <a:r>
                      <a:rPr lang="en-US"/>
                      <a:t> SO = 17%</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816-4ACF-B471-D272F9F9EE5F}"/>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Hoja1!$A$4:$A$8</c:f>
              <c:strCache>
                <c:ptCount val="4"/>
                <c:pt idx="0">
                  <c:v>Cumplimiento parcial</c:v>
                </c:pt>
                <c:pt idx="1">
                  <c:v>Cumplimiento total</c:v>
                </c:pt>
                <c:pt idx="2">
                  <c:v>Incumplimiento parcial</c:v>
                </c:pt>
                <c:pt idx="3">
                  <c:v>Incumplimiento total</c:v>
                </c:pt>
              </c:strCache>
            </c:strRef>
          </c:cat>
          <c:val>
            <c:numRef>
              <c:f>Hoja1!$B$4:$B$8</c:f>
              <c:numCache>
                <c:formatCode>General</c:formatCode>
                <c:ptCount val="4"/>
                <c:pt idx="0">
                  <c:v>63</c:v>
                </c:pt>
                <c:pt idx="1">
                  <c:v>29</c:v>
                </c:pt>
                <c:pt idx="2">
                  <c:v>7</c:v>
                </c:pt>
                <c:pt idx="3">
                  <c:v>20</c:v>
                </c:pt>
              </c:numCache>
            </c:numRef>
          </c:val>
          <c:extLst>
            <c:ext xmlns:c16="http://schemas.microsoft.com/office/drawing/2014/chart" uri="{C3380CC4-5D6E-409C-BE32-E72D297353CC}">
              <c16:uniqueId val="{00000008-4816-4ACF-B471-D272F9F9EE5F}"/>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 dinámica1</c:name>
    <c:fmtId val="-1"/>
  </c:pivotSource>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latin typeface="Arial" panose="020B0604020202020204" pitchFamily="34" charset="0"/>
                <a:cs typeface="Arial" panose="020B0604020202020204" pitchFamily="34" charset="0"/>
              </a:rPr>
              <a:t>tercera evaluación vinculante 2020 Nivel</a:t>
            </a:r>
            <a:r>
              <a:rPr lang="en-US" sz="1100" baseline="0">
                <a:latin typeface="Arial" panose="020B0604020202020204" pitchFamily="34" charset="0"/>
                <a:cs typeface="Arial" panose="020B0604020202020204" pitchFamily="34" charset="0"/>
              </a:rPr>
              <a:t> de cumplimiento</a:t>
            </a:r>
            <a:endParaRPr lang="en-US"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title>
    <c:autoTitleDeleted val="0"/>
    <c:pivotFmts>
      <c:pivotFmt>
        <c:idx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circle"/>
          <c:size val="6"/>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2"/>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3"/>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4"/>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5"/>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7"/>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8"/>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2"/>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102D-469C-B5D5-E8A3C6FE1B6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102D-469C-B5D5-E8A3C6FE1B6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102D-469C-B5D5-E8A3C6FE1B68}"/>
              </c:ext>
            </c:extLst>
          </c:dPt>
          <c:dLbls>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6="http://schemas.microsoft.com/office/drawing/2014/chart" uri="{C3380CC4-5D6E-409C-BE32-E72D297353CC}">
                  <c16:uniqueId val="{00000001-102D-469C-B5D5-E8A3C6FE1B68}"/>
                </c:ext>
              </c:extLst>
            </c:dLbl>
            <c:dLbl>
              <c:idx val="1"/>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Arial" panose="020B0604020202020204" pitchFamily="34" charset="0"/>
                      <a:ea typeface="+mn-ea"/>
                      <a:cs typeface="Arial" panose="020B0604020202020204" pitchFamily="34" charset="0"/>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2D-469C-B5D5-E8A3C6FE1B68}"/>
                </c:ext>
              </c:extLst>
            </c:dLbl>
            <c:dLbl>
              <c:idx val="2"/>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Arial" panose="020B0604020202020204" pitchFamily="34" charset="0"/>
                      <a:ea typeface="+mn-ea"/>
                      <a:cs typeface="Arial" panose="020B0604020202020204" pitchFamily="34" charset="0"/>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2D-469C-B5D5-E8A3C6FE1B68}"/>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Hoja1!$A$4:$A$7</c:f>
              <c:strCache>
                <c:ptCount val="3"/>
                <c:pt idx="0">
                  <c:v>Cumplimiento parcial</c:v>
                </c:pt>
                <c:pt idx="1">
                  <c:v>Incumplimiento parcial</c:v>
                </c:pt>
                <c:pt idx="2">
                  <c:v>Incumplimiento total</c:v>
                </c:pt>
              </c:strCache>
            </c:strRef>
          </c:cat>
          <c:val>
            <c:numRef>
              <c:f>Hoja1!$B$4:$B$7</c:f>
              <c:numCache>
                <c:formatCode>General</c:formatCode>
                <c:ptCount val="3"/>
                <c:pt idx="0">
                  <c:v>5</c:v>
                </c:pt>
                <c:pt idx="1">
                  <c:v>3</c:v>
                </c:pt>
                <c:pt idx="2">
                  <c:v>13</c:v>
                </c:pt>
              </c:numCache>
            </c:numRef>
          </c:val>
          <c:extLst>
            <c:ext xmlns:c16="http://schemas.microsoft.com/office/drawing/2014/chart" uri="{C3380CC4-5D6E-409C-BE32-E72D297353CC}">
              <c16:uniqueId val="{00000006-102D-469C-B5D5-E8A3C6FE1B68}"/>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Cumplimiento en las fracciones sobre contrataciones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0"/>
          <c:order val="0"/>
          <c:tx>
            <c:strRef>
              <c:f>grafica!$B$1</c:f>
              <c:strCache>
                <c:ptCount val="1"/>
                <c:pt idx="0">
                  <c:v>2da Evaluación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grafica!$A$2:$A$10</c:f>
              <c:strCache>
                <c:ptCount val="9"/>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pt idx="8">
                  <c:v>Promedio general</c:v>
                </c:pt>
              </c:strCache>
            </c:strRef>
          </c:cat>
          <c:val>
            <c:numRef>
              <c:f>grafica!$B$2:$B$10</c:f>
              <c:numCache>
                <c:formatCode>0.00</c:formatCode>
                <c:ptCount val="9"/>
                <c:pt idx="0">
                  <c:v>94.054444444444442</c:v>
                </c:pt>
                <c:pt idx="1">
                  <c:v>94.963636363636354</c:v>
                </c:pt>
                <c:pt idx="2">
                  <c:v>54.26101694915257</c:v>
                </c:pt>
                <c:pt idx="3">
                  <c:v>75.592000000000013</c:v>
                </c:pt>
                <c:pt idx="4">
                  <c:v>40</c:v>
                </c:pt>
                <c:pt idx="5">
                  <c:v>78.81</c:v>
                </c:pt>
                <c:pt idx="6">
                  <c:v>95.36</c:v>
                </c:pt>
                <c:pt idx="7">
                  <c:v>19.174761904761905</c:v>
                </c:pt>
                <c:pt idx="8">
                  <c:v>55.642521008403371</c:v>
                </c:pt>
              </c:numCache>
            </c:numRef>
          </c:val>
          <c:extLst>
            <c:ext xmlns:c16="http://schemas.microsoft.com/office/drawing/2014/chart" uri="{C3380CC4-5D6E-409C-BE32-E72D297353CC}">
              <c16:uniqueId val="{00000000-F80D-464D-8AAF-951F4396E7C2}"/>
            </c:ext>
          </c:extLst>
        </c:ser>
        <c:ser>
          <c:idx val="1"/>
          <c:order val="1"/>
          <c:tx>
            <c:strRef>
              <c:f>grafica!$C$1</c:f>
              <c:strCache>
                <c:ptCount val="1"/>
                <c:pt idx="0">
                  <c:v>3ra Evaluación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100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80D-464D-8AAF-951F4396E7C2}"/>
                </c:ext>
              </c:extLst>
            </c:dLbl>
            <c:dLbl>
              <c:idx val="5"/>
              <c:tx>
                <c:rich>
                  <a:bodyPr/>
                  <a:lstStyle/>
                  <a:p>
                    <a:r>
                      <a:rPr lang="en-US"/>
                      <a:t>100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80D-464D-8AAF-951F4396E7C2}"/>
                </c:ext>
              </c:extLst>
            </c:dLbl>
            <c:spPr>
              <a:noFill/>
              <a:ln>
                <a:noFill/>
              </a:ln>
              <a:effectLst/>
            </c:spPr>
            <c:txPr>
              <a:bodyPr rot="0" spcFirstLastPara="1" vertOverflow="ellipsis" vert="horz" wrap="square" lIns="38100" tIns="19050" rIns="38100" bIns="19050" anchor="ctr" anchorCtr="0">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grafica!$A$2:$A$10</c:f>
              <c:strCache>
                <c:ptCount val="9"/>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pt idx="8">
                  <c:v>Promedio general</c:v>
                </c:pt>
              </c:strCache>
            </c:strRef>
          </c:cat>
          <c:val>
            <c:numRef>
              <c:f>grafica!$C$2:$C$10</c:f>
              <c:numCache>
                <c:formatCode>0.00</c:formatCode>
                <c:ptCount val="9"/>
                <c:pt idx="0">
                  <c:v>100</c:v>
                </c:pt>
                <c:pt idx="1">
                  <c:v>99.680909090909097</c:v>
                </c:pt>
                <c:pt idx="2">
                  <c:v>72.94220338983051</c:v>
                </c:pt>
                <c:pt idx="3">
                  <c:v>79.585000000000008</c:v>
                </c:pt>
                <c:pt idx="4">
                  <c:v>45</c:v>
                </c:pt>
                <c:pt idx="5">
                  <c:v>100</c:v>
                </c:pt>
                <c:pt idx="6">
                  <c:v>95.86</c:v>
                </c:pt>
                <c:pt idx="7">
                  <c:v>21.555714285714288</c:v>
                </c:pt>
                <c:pt idx="8">
                  <c:v>67.162983193277313</c:v>
                </c:pt>
              </c:numCache>
            </c:numRef>
          </c:val>
          <c:extLst>
            <c:ext xmlns:c16="http://schemas.microsoft.com/office/drawing/2014/chart" uri="{C3380CC4-5D6E-409C-BE32-E72D297353CC}">
              <c16:uniqueId val="{00000001-F80D-464D-8AAF-951F4396E7C2}"/>
            </c:ext>
          </c:extLst>
        </c:ser>
        <c:dLbls>
          <c:dLblPos val="outEnd"/>
          <c:showLegendKey val="0"/>
          <c:showVal val="1"/>
          <c:showCatName val="0"/>
          <c:showSerName val="0"/>
          <c:showPercent val="0"/>
          <c:showBubbleSize val="0"/>
        </c:dLbls>
        <c:gapWidth val="115"/>
        <c:overlap val="-20"/>
        <c:axId val="2122625792"/>
        <c:axId val="2122626208"/>
      </c:barChart>
      <c:catAx>
        <c:axId val="21226257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22626208"/>
        <c:crosses val="autoZero"/>
        <c:auto val="1"/>
        <c:lblAlgn val="ctr"/>
        <c:lblOffset val="100"/>
        <c:noMultiLvlLbl val="0"/>
      </c:catAx>
      <c:valAx>
        <c:axId val="2122626208"/>
        <c:scaling>
          <c:orientation val="minMax"/>
          <c:max val="100"/>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12262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[Fracciones de contrataciones (2da y 3ra) - 119 SO.xlsx]Hoja4!TablaDinámica20</c:name>
    <c:fmtId val="-1"/>
  </c:pivotSource>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a:t>Nivel de cumplimineto en la fracción de contrataciones</a:t>
            </a:r>
          </a:p>
          <a:p>
            <a:pPr>
              <a:defRPr/>
            </a:pPr>
            <a:r>
              <a:rPr lang="en-US"/>
              <a:t>67.16</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MX"/>
        </a:p>
      </c:txPr>
    </c:title>
    <c:autoTitleDeleted val="0"/>
    <c:pivotFmts>
      <c:pivotFmt>
        <c:idx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circle"/>
          <c:size val="6"/>
        </c:marker>
        <c:dLbl>
          <c:idx val="0"/>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5.6359142607174104E-2"/>
              <c:y val="8.6172717993584141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Lbl>
          <c:idx val="0"/>
          <c:layout>
            <c:manualLayout>
              <c:x val="-0.12542454068241471"/>
              <c:y val="-0.28722623213764953"/>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3"/>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Lbl>
          <c:idx val="0"/>
          <c:layout>
            <c:manualLayout>
              <c:x val="8.731080489938757E-2"/>
              <c:y val="-9.211468358121902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4"/>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Lbl>
          <c:idx val="0"/>
          <c:layout>
            <c:manualLayout>
              <c:x val="0.11198643919510064"/>
              <c:y val="5.3514144065325168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5"/>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5.6359142607174104E-2"/>
              <c:y val="8.6172717993584141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7"/>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12542454068241471"/>
              <c:y val="-0.28722623213764953"/>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8"/>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8.731080489938757E-2"/>
              <c:y val="-9.211468358121902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11198643919510064"/>
              <c:y val="5.3514144065325168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5.6359142607174104E-2"/>
              <c:y val="8.6172717993584141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2"/>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12542454068241471"/>
              <c:y val="-0.28722623213764953"/>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3"/>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8.731080489938757E-2"/>
              <c:y val="-9.211468358121902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4"/>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11198643919510064"/>
              <c:y val="5.3514144065325168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Hoja4!$B$3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799F-4461-A2E3-52B6F316E070}"/>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799F-4461-A2E3-52B6F316E070}"/>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799F-4461-A2E3-52B6F316E070}"/>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799F-4461-A2E3-52B6F316E070}"/>
              </c:ext>
            </c:extLst>
          </c:dPt>
          <c:dLbls>
            <c:dLbl>
              <c:idx val="0"/>
              <c:layout>
                <c:manualLayout>
                  <c:x val="-5.6359142607174104E-2"/>
                  <c:y val="8.617271799358414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35B1BE7-F13C-4CBE-B76A-8CADDC38A6FA}" type="CATEGORYNAME">
                      <a:rPr lang="en-US"/>
                      <a:pPr>
                        <a:defRPr/>
                      </a:pPr>
                      <a:t>[NOMBRE DE CATEGORÍA]</a:t>
                    </a:fld>
                    <a:r>
                      <a:rPr lang="en-US" baseline="0"/>
                      <a:t>, </a:t>
                    </a:r>
                    <a:fld id="{03C20893-B945-4448-AD8D-7D71A25803B5}" type="VALUE">
                      <a:rPr lang="en-US" baseline="0"/>
                      <a:pPr>
                        <a:defRPr/>
                      </a:pPr>
                      <a:t>[VALOR]</a:t>
                    </a:fld>
                    <a:r>
                      <a:rPr lang="en-US" baseline="0"/>
                      <a:t> SO =  17.65%</a:t>
                    </a:r>
                  </a:p>
                </c:rich>
              </c:tx>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99F-4461-A2E3-52B6F316E070}"/>
                </c:ext>
              </c:extLst>
            </c:dLbl>
            <c:dLbl>
              <c:idx val="1"/>
              <c:layout>
                <c:manualLayout>
                  <c:x val="-0.12542454068241471"/>
                  <c:y val="-0.2872262321376495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2112615-E986-489A-8D70-091BD0109ECA}" type="CATEGORYNAME">
                      <a:rPr lang="en-US"/>
                      <a:pPr>
                        <a:defRPr>
                          <a:solidFill>
                            <a:schemeClr val="accent1"/>
                          </a:solidFill>
                        </a:defRPr>
                      </a:pPr>
                      <a:t>[NOMBRE DE CATEGORÍA]</a:t>
                    </a:fld>
                    <a:r>
                      <a:rPr lang="en-US" baseline="0"/>
                      <a:t>, </a:t>
                    </a:r>
                    <a:fld id="{DD9E133D-7494-499B-8037-509D91870CC5}" type="VALUE">
                      <a:rPr lang="en-US" baseline="0"/>
                      <a:pPr>
                        <a:defRPr>
                          <a:solidFill>
                            <a:schemeClr val="accent1"/>
                          </a:solidFill>
                        </a:defRPr>
                      </a:pPr>
                      <a:t>[VALOR]</a:t>
                    </a:fld>
                    <a:r>
                      <a:rPr lang="en-US" baseline="0"/>
                      <a:t> = 47.9%</a:t>
                    </a:r>
                  </a:p>
                </c:rich>
              </c:tx>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99F-4461-A2E3-52B6F316E070}"/>
                </c:ext>
              </c:extLst>
            </c:dLbl>
            <c:dLbl>
              <c:idx val="2"/>
              <c:layout>
                <c:manualLayout>
                  <c:x val="8.731080489938757E-2"/>
                  <c:y val="-9.211468358121902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079A544D-CB2E-4B44-AF0C-CC1A6A1FBE84}" type="CATEGORYNAME">
                      <a:rPr lang="en-US"/>
                      <a:pPr>
                        <a:defRPr>
                          <a:solidFill>
                            <a:schemeClr val="accent1"/>
                          </a:solidFill>
                        </a:defRPr>
                      </a:pPr>
                      <a:t>[NOMBRE DE CATEGORÍA]</a:t>
                    </a:fld>
                    <a:r>
                      <a:rPr lang="en-US" baseline="0"/>
                      <a:t>, </a:t>
                    </a:r>
                    <a:fld id="{EE295A7A-E469-4E31-A85F-AAEE504EC4AE}" type="VALUE">
                      <a:rPr lang="en-US" baseline="0"/>
                      <a:pPr>
                        <a:defRPr>
                          <a:solidFill>
                            <a:schemeClr val="accent1"/>
                          </a:solidFill>
                        </a:defRPr>
                      </a:pPr>
                      <a:t>[VALOR]</a:t>
                    </a:fld>
                    <a:r>
                      <a:rPr lang="en-US" baseline="0"/>
                      <a:t> SO = 8.4%</a:t>
                    </a:r>
                  </a:p>
                </c:rich>
              </c:tx>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99F-4461-A2E3-52B6F316E070}"/>
                </c:ext>
              </c:extLst>
            </c:dLbl>
            <c:dLbl>
              <c:idx val="3"/>
              <c:layout>
                <c:manualLayout>
                  <c:x val="3.9378760124664678E-3"/>
                  <c:y val="8.6136883627198936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877E96B8-583A-4F00-A458-E43370EE9927}" type="CATEGORYNAME">
                      <a:rPr lang="en-US"/>
                      <a:pPr>
                        <a:defRPr>
                          <a:solidFill>
                            <a:schemeClr val="accent1"/>
                          </a:solidFill>
                        </a:defRPr>
                      </a:pPr>
                      <a:t>[NOMBRE DE CATEGORÍA]</a:t>
                    </a:fld>
                    <a:r>
                      <a:rPr lang="en-US" baseline="0"/>
                      <a:t>, </a:t>
                    </a:r>
                    <a:fld id="{4958ACC1-C2DF-422E-A2A9-961FD626DE9B}" type="VALUE">
                      <a:rPr lang="en-US" baseline="0"/>
                      <a:pPr>
                        <a:defRPr>
                          <a:solidFill>
                            <a:schemeClr val="accent1"/>
                          </a:solidFill>
                        </a:defRPr>
                      </a:pPr>
                      <a:t>[VALOR]</a:t>
                    </a:fld>
                    <a:r>
                      <a:rPr lang="en-US" baseline="0"/>
                      <a:t> SO = 26.05</a:t>
                    </a:r>
                  </a:p>
                </c:rich>
              </c:tx>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99F-4461-A2E3-52B6F316E070}"/>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Hoja4!$A$4:$A$8</c:f>
              <c:strCache>
                <c:ptCount val="4"/>
                <c:pt idx="0">
                  <c:v>Cumplimiento parcial</c:v>
                </c:pt>
                <c:pt idx="1">
                  <c:v>Cumplimiento total</c:v>
                </c:pt>
                <c:pt idx="2">
                  <c:v>Incumplimiento parcial</c:v>
                </c:pt>
                <c:pt idx="3">
                  <c:v>Incumplimiento total</c:v>
                </c:pt>
              </c:strCache>
            </c:strRef>
          </c:cat>
          <c:val>
            <c:numRef>
              <c:f>Hoja4!$B$4:$B$8</c:f>
              <c:numCache>
                <c:formatCode>General</c:formatCode>
                <c:ptCount val="4"/>
                <c:pt idx="0">
                  <c:v>21</c:v>
                </c:pt>
                <c:pt idx="1">
                  <c:v>57</c:v>
                </c:pt>
                <c:pt idx="2">
                  <c:v>10</c:v>
                </c:pt>
                <c:pt idx="3">
                  <c:v>31</c:v>
                </c:pt>
              </c:numCache>
            </c:numRef>
          </c:val>
          <c:extLst>
            <c:ext xmlns:c16="http://schemas.microsoft.com/office/drawing/2014/chart" uri="{C3380CC4-5D6E-409C-BE32-E72D297353CC}">
              <c16:uniqueId val="{00000008-799F-4461-A2E3-52B6F316E070}"/>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evaluación.xlsx]Graf_Cumplimiento!TablaDinámica2</c:name>
    <c:fmtId val="-1"/>
  </c:pivotSource>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MX"/>
              <a:t>Resultados de la 3ra evaluación 2020 por ámbito</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MX"/>
        </a:p>
      </c:txPr>
    </c:title>
    <c:autoTitleDeleted val="0"/>
    <c:pivotFmts>
      <c:pivotFmt>
        <c:idx val="0"/>
        <c:spPr>
          <a:solidFill>
            <a:schemeClr val="accent1"/>
          </a:solidFill>
          <a:ln>
            <a:noFill/>
          </a:ln>
          <a:effectLst/>
        </c:spPr>
        <c:marker>
          <c:symbol val="diamond"/>
          <c:size val="6"/>
          <c:spPr>
            <a:solidFill>
              <a:schemeClr val="accent1"/>
            </a:solidFill>
            <a:ln w="952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square"/>
          <c:size val="6"/>
          <c:spPr>
            <a:solidFill>
              <a:schemeClr val="accent2"/>
            </a:solidFill>
            <a:ln w="952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triangle"/>
          <c:size val="6"/>
          <c:spPr>
            <a:solidFill>
              <a:schemeClr val="accent3"/>
            </a:solidFill>
            <a:ln w="9525">
              <a:solidFill>
                <a:schemeClr val="accent3"/>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x"/>
          <c:size val="6"/>
          <c:spPr>
            <a:noFill/>
            <a:ln w="9525">
              <a:solidFill>
                <a:schemeClr val="accent4"/>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Graf_Cumplimiento!$B$3:$B$4</c:f>
              <c:strCache>
                <c:ptCount val="1"/>
                <c:pt idx="0">
                  <c:v>Cumplimiento parcial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Graf_Cumplimiento!$A$5:$A$13</c:f>
              <c:strCache>
                <c:ptCount val="8"/>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strCache>
            </c:strRef>
          </c:cat>
          <c:val>
            <c:numRef>
              <c:f>Graf_Cumplimiento!$B$5:$B$13</c:f>
              <c:numCache>
                <c:formatCode>General</c:formatCode>
                <c:ptCount val="8"/>
                <c:pt idx="0">
                  <c:v>4</c:v>
                </c:pt>
                <c:pt idx="1">
                  <c:v>8</c:v>
                </c:pt>
                <c:pt idx="2">
                  <c:v>39</c:v>
                </c:pt>
                <c:pt idx="3">
                  <c:v>2</c:v>
                </c:pt>
                <c:pt idx="4">
                  <c:v>2</c:v>
                </c:pt>
                <c:pt idx="5">
                  <c:v>1</c:v>
                </c:pt>
                <c:pt idx="6">
                  <c:v>2</c:v>
                </c:pt>
                <c:pt idx="7">
                  <c:v>5</c:v>
                </c:pt>
              </c:numCache>
            </c:numRef>
          </c:val>
          <c:extLst>
            <c:ext xmlns:c16="http://schemas.microsoft.com/office/drawing/2014/chart" uri="{C3380CC4-5D6E-409C-BE32-E72D297353CC}">
              <c16:uniqueId val="{00000000-C577-4A83-96CF-790BAC860C13}"/>
            </c:ext>
          </c:extLst>
        </c:ser>
        <c:ser>
          <c:idx val="1"/>
          <c:order val="1"/>
          <c:tx>
            <c:strRef>
              <c:f>Graf_Cumplimiento!$C$3:$C$4</c:f>
              <c:strCache>
                <c:ptCount val="1"/>
                <c:pt idx="0">
                  <c:v>Cumplimiento 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Graf_Cumplimiento!$A$5:$A$13</c:f>
              <c:strCache>
                <c:ptCount val="8"/>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strCache>
            </c:strRef>
          </c:cat>
          <c:val>
            <c:numRef>
              <c:f>Graf_Cumplimiento!$C$5:$C$13</c:f>
              <c:numCache>
                <c:formatCode>General</c:formatCode>
                <c:ptCount val="8"/>
                <c:pt idx="0">
                  <c:v>5</c:v>
                </c:pt>
                <c:pt idx="1">
                  <c:v>3</c:v>
                </c:pt>
                <c:pt idx="2">
                  <c:v>14</c:v>
                </c:pt>
                <c:pt idx="3">
                  <c:v>2</c:v>
                </c:pt>
                <c:pt idx="4">
                  <c:v>4</c:v>
                </c:pt>
                <c:pt idx="5">
                  <c:v>1</c:v>
                </c:pt>
              </c:numCache>
            </c:numRef>
          </c:val>
          <c:extLst>
            <c:ext xmlns:c16="http://schemas.microsoft.com/office/drawing/2014/chart" uri="{C3380CC4-5D6E-409C-BE32-E72D297353CC}">
              <c16:uniqueId val="{00000001-C577-4A83-96CF-790BAC860C13}"/>
            </c:ext>
          </c:extLst>
        </c:ser>
        <c:ser>
          <c:idx val="2"/>
          <c:order val="2"/>
          <c:tx>
            <c:strRef>
              <c:f>Graf_Cumplimiento!$D$3:$D$4</c:f>
              <c:strCache>
                <c:ptCount val="1"/>
                <c:pt idx="0">
                  <c:v>Incumplimiento parcial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Graf_Cumplimiento!$A$5:$A$13</c:f>
              <c:strCache>
                <c:ptCount val="8"/>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strCache>
            </c:strRef>
          </c:cat>
          <c:val>
            <c:numRef>
              <c:f>Graf_Cumplimiento!$D$5:$D$13</c:f>
              <c:numCache>
                <c:formatCode>General</c:formatCode>
                <c:ptCount val="8"/>
                <c:pt idx="2">
                  <c:v>5</c:v>
                </c:pt>
                <c:pt idx="3">
                  <c:v>1</c:v>
                </c:pt>
                <c:pt idx="4">
                  <c:v>1</c:v>
                </c:pt>
                <c:pt idx="7">
                  <c:v>12</c:v>
                </c:pt>
              </c:numCache>
            </c:numRef>
          </c:val>
          <c:extLst>
            <c:ext xmlns:c16="http://schemas.microsoft.com/office/drawing/2014/chart" uri="{C3380CC4-5D6E-409C-BE32-E72D297353CC}">
              <c16:uniqueId val="{00000002-C577-4A83-96CF-790BAC860C13}"/>
            </c:ext>
          </c:extLst>
        </c:ser>
        <c:ser>
          <c:idx val="3"/>
          <c:order val="3"/>
          <c:tx>
            <c:strRef>
              <c:f>Graf_Cumplimiento!$E$3:$E$4</c:f>
              <c:strCache>
                <c:ptCount val="1"/>
                <c:pt idx="0">
                  <c:v>Incumplimiento total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Graf_Cumplimiento!$A$5:$A$13</c:f>
              <c:strCache>
                <c:ptCount val="8"/>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strCache>
            </c:strRef>
          </c:cat>
          <c:val>
            <c:numRef>
              <c:f>Graf_Cumplimiento!$E$5:$E$13</c:f>
              <c:numCache>
                <c:formatCode>General</c:formatCode>
                <c:ptCount val="8"/>
                <c:pt idx="2">
                  <c:v>1</c:v>
                </c:pt>
                <c:pt idx="4">
                  <c:v>3</c:v>
                </c:pt>
                <c:pt idx="7">
                  <c:v>4</c:v>
                </c:pt>
              </c:numCache>
            </c:numRef>
          </c:val>
          <c:extLst>
            <c:ext xmlns:c16="http://schemas.microsoft.com/office/drawing/2014/chart" uri="{C3380CC4-5D6E-409C-BE32-E72D297353CC}">
              <c16:uniqueId val="{00000003-C577-4A83-96CF-790BAC860C13}"/>
            </c:ext>
          </c:extLst>
        </c:ser>
        <c:dLbls>
          <c:dLblPos val="ctr"/>
          <c:showLegendKey val="0"/>
          <c:showVal val="1"/>
          <c:showCatName val="0"/>
          <c:showSerName val="0"/>
          <c:showPercent val="0"/>
          <c:showBubbleSize val="0"/>
        </c:dLbls>
        <c:gapWidth val="79"/>
        <c:overlap val="100"/>
        <c:axId val="326207983"/>
        <c:axId val="369691663"/>
      </c:barChart>
      <c:catAx>
        <c:axId val="326207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369691663"/>
        <c:crosses val="autoZero"/>
        <c:auto val="1"/>
        <c:lblAlgn val="ctr"/>
        <c:lblOffset val="100"/>
        <c:noMultiLvlLbl val="0"/>
      </c:catAx>
      <c:valAx>
        <c:axId val="369691663"/>
        <c:scaling>
          <c:orientation val="minMax"/>
        </c:scaling>
        <c:delete val="1"/>
        <c:axPos val="b"/>
        <c:numFmt formatCode="0%" sourceLinked="1"/>
        <c:majorTickMark val="none"/>
        <c:minorTickMark val="none"/>
        <c:tickLblPos val="nextTo"/>
        <c:crossAx val="3262079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evaluación.xlsx]IGOT!TablaDinámica2</c:name>
    <c:fmtId val="-1"/>
  </c:pivotSource>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Comparativo de resultados de la 2da Evaluación 2020 y la 3ra Evaluación 2020, por ámbito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IGOT!$B$3</c:f>
              <c:strCache>
                <c:ptCount val="1"/>
                <c:pt idx="0">
                  <c:v>2da Evaluación 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IGOT!$A$4:$A$12</c:f>
              <c:strCache>
                <c:ptCount val="8"/>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strCache>
            </c:strRef>
          </c:cat>
          <c:val>
            <c:numRef>
              <c:f>IGOT!$B$4:$B$12</c:f>
              <c:numCache>
                <c:formatCode>0.0</c:formatCode>
                <c:ptCount val="8"/>
                <c:pt idx="0">
                  <c:v>90.177893192965087</c:v>
                </c:pt>
                <c:pt idx="1">
                  <c:v>90.127083392431473</c:v>
                </c:pt>
                <c:pt idx="2">
                  <c:v>73.779754224206087</c:v>
                </c:pt>
                <c:pt idx="3">
                  <c:v>76.171753990038766</c:v>
                </c:pt>
                <c:pt idx="4">
                  <c:v>54.421472173422821</c:v>
                </c:pt>
                <c:pt idx="5">
                  <c:v>98.545424828024053</c:v>
                </c:pt>
                <c:pt idx="6">
                  <c:v>92.22648029251539</c:v>
                </c:pt>
                <c:pt idx="7">
                  <c:v>21.705257288432829</c:v>
                </c:pt>
              </c:numCache>
            </c:numRef>
          </c:val>
          <c:extLst>
            <c:ext xmlns:c16="http://schemas.microsoft.com/office/drawing/2014/chart" uri="{C3380CC4-5D6E-409C-BE32-E72D297353CC}">
              <c16:uniqueId val="{00000000-1FE0-49C4-92DB-B2A959C01AF9}"/>
            </c:ext>
          </c:extLst>
        </c:ser>
        <c:ser>
          <c:idx val="1"/>
          <c:order val="1"/>
          <c:tx>
            <c:strRef>
              <c:f>IGOT!$C$3</c:f>
              <c:strCache>
                <c:ptCount val="1"/>
                <c:pt idx="0">
                  <c:v>3ra Evaluación 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IGOT!$A$4:$A$12</c:f>
              <c:strCache>
                <c:ptCount val="8"/>
                <c:pt idx="0">
                  <c:v>Administración Pública Central</c:v>
                </c:pt>
                <c:pt idx="1">
                  <c:v>Alcaldías</c:v>
                </c:pt>
                <c:pt idx="2">
                  <c:v>Desconcentrados y Paraestatales (Descentralizados, Auxiliares, Fondos y Fideicomisos)</c:v>
                </c:pt>
                <c:pt idx="3">
                  <c:v>Órganos Autónomos</c:v>
                </c:pt>
                <c:pt idx="4">
                  <c:v>Partidos Políticos</c:v>
                </c:pt>
                <c:pt idx="5">
                  <c:v>Poder Judicial</c:v>
                </c:pt>
                <c:pt idx="6">
                  <c:v>Poder Legislativo</c:v>
                </c:pt>
                <c:pt idx="7">
                  <c:v>Sindicatos</c:v>
                </c:pt>
              </c:strCache>
            </c:strRef>
          </c:cat>
          <c:val>
            <c:numRef>
              <c:f>IGOT!$C$4:$C$12</c:f>
              <c:numCache>
                <c:formatCode>0.0</c:formatCode>
                <c:ptCount val="8"/>
                <c:pt idx="0">
                  <c:v>96.84195023486761</c:v>
                </c:pt>
                <c:pt idx="1">
                  <c:v>97.702938431965734</c:v>
                </c:pt>
                <c:pt idx="2">
                  <c:v>86.09811961366141</c:v>
                </c:pt>
                <c:pt idx="3">
                  <c:v>80.043766039807991</c:v>
                </c:pt>
                <c:pt idx="4">
                  <c:v>61.504706315459678</c:v>
                </c:pt>
                <c:pt idx="5">
                  <c:v>99.7552083333333</c:v>
                </c:pt>
                <c:pt idx="6">
                  <c:v>96.172768077348096</c:v>
                </c:pt>
                <c:pt idx="7">
                  <c:v>25.93075978186419</c:v>
                </c:pt>
              </c:numCache>
            </c:numRef>
          </c:val>
          <c:extLst>
            <c:ext xmlns:c16="http://schemas.microsoft.com/office/drawing/2014/chart" uri="{C3380CC4-5D6E-409C-BE32-E72D297353CC}">
              <c16:uniqueId val="{00000001-1FE0-49C4-92DB-B2A959C01AF9}"/>
            </c:ext>
          </c:extLst>
        </c:ser>
        <c:dLbls>
          <c:dLblPos val="outEnd"/>
          <c:showLegendKey val="0"/>
          <c:showVal val="1"/>
          <c:showCatName val="0"/>
          <c:showSerName val="0"/>
          <c:showPercent val="0"/>
          <c:showBubbleSize val="0"/>
        </c:dLbls>
        <c:gapWidth val="100"/>
        <c:axId val="1217045919"/>
        <c:axId val="1273294895"/>
      </c:barChart>
      <c:catAx>
        <c:axId val="1217045919"/>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MX"/>
          </a:p>
        </c:txPr>
        <c:crossAx val="1273294895"/>
        <c:crosses val="autoZero"/>
        <c:auto val="1"/>
        <c:lblAlgn val="ctr"/>
        <c:lblOffset val="100"/>
        <c:noMultiLvlLbl val="0"/>
      </c:catAx>
      <c:valAx>
        <c:axId val="1273294895"/>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170459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evaluación.xlsx]Hoja1!TablaDinámica5</c:name>
    <c:fmtId val="-1"/>
  </c:pivotSource>
  <c:chart>
    <c:title>
      <c:tx>
        <c:rich>
          <a:bodyPr rot="0" vert="horz"/>
          <a:lstStyle/>
          <a:p>
            <a:pPr>
              <a:defRPr sz="1200"/>
            </a:pPr>
            <a:r>
              <a:rPr lang="en-US" sz="1200"/>
              <a:t>Tercera Evaluación Vinculante 2020</a:t>
            </a:r>
          </a:p>
          <a:p>
            <a:pPr>
              <a:defRPr sz="1200"/>
            </a:pPr>
            <a:r>
              <a:rPr lang="en-US" sz="1200"/>
              <a:t>Nivel de cumplimiento</a:t>
            </a:r>
          </a:p>
        </c:rich>
      </c:tx>
      <c:overlay val="0"/>
      <c:spPr>
        <a:noFill/>
        <a:ln>
          <a:noFill/>
        </a:ln>
        <a:effectLst/>
      </c:spPr>
    </c:title>
    <c:autoTitleDeleted val="0"/>
    <c:pivotFmts>
      <c:pivotFmt>
        <c:idx val="0"/>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3"/>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4"/>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5"/>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7"/>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8"/>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1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BE10-4842-8938-9051BF498FE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BE10-4842-8938-9051BF498FE6}"/>
              </c:ext>
            </c:extLst>
          </c:dPt>
          <c:dLbls>
            <c:dLbl>
              <c:idx val="0"/>
              <c:tx>
                <c:rich>
                  <a:bodyPr/>
                  <a:lstStyle/>
                  <a:p>
                    <a:fld id="{DE6C8AD3-4136-4035-A12B-59764E56C9DC}" type="CATEGORYNAME">
                      <a:rPr lang="en-US"/>
                      <a:pPr/>
                      <a:t>[NOMBRE DE CATEGORÍA]</a:t>
                    </a:fld>
                    <a:r>
                      <a:rPr lang="en-US" baseline="0"/>
                      <a:t>, </a:t>
                    </a:r>
                    <a:fld id="{D5D56D13-8C53-44F1-A74F-005BF9619913}" type="VALUE">
                      <a:rPr lang="en-US" baseline="0"/>
                      <a:pPr/>
                      <a:t>[VALOR]</a:t>
                    </a:fld>
                    <a:r>
                      <a:rPr lang="en-US" baseline="0"/>
                      <a:t> SO = 44.4%</a:t>
                    </a:r>
                  </a:p>
                </c:rich>
              </c:tx>
              <c:dLblPos val="inEnd"/>
              <c:showLegendKey val="0"/>
              <c:showVal val="1"/>
              <c:showCatName val="1"/>
              <c:showSerName val="0"/>
              <c:showPercent val="0"/>
              <c:showBubbleSize val="0"/>
              <c:extLst>
                <c:ext xmlns:c15="http://schemas.microsoft.com/office/drawing/2012/chart" uri="{CE6537A1-D6FC-4f65-9D91-7224C49458BB}">
                  <c15:layout>
                    <c:manualLayout>
                      <c:w val="0.24400035365460424"/>
                      <c:h val="0.14178947368421052"/>
                    </c:manualLayout>
                  </c15:layout>
                  <c15:dlblFieldTable/>
                  <c15:showDataLabelsRange val="0"/>
                </c:ext>
                <c:ext xmlns:c16="http://schemas.microsoft.com/office/drawing/2014/chart" uri="{C3380CC4-5D6E-409C-BE32-E72D297353CC}">
                  <c16:uniqueId val="{00000001-BE10-4842-8938-9051BF498FE6}"/>
                </c:ext>
              </c:extLst>
            </c:dLbl>
            <c:dLbl>
              <c:idx val="1"/>
              <c:tx>
                <c:rich>
                  <a:bodyPr/>
                  <a:lstStyle/>
                  <a:p>
                    <a:fld id="{6671F4FD-3C4E-469A-BF05-0E0EAC76AFF2}" type="CATEGORYNAME">
                      <a:rPr lang="en-US"/>
                      <a:pPr/>
                      <a:t>[NOMBRE DE CATEGORÍA]</a:t>
                    </a:fld>
                    <a:r>
                      <a:rPr lang="en-US" baseline="0"/>
                      <a:t>, </a:t>
                    </a:r>
                    <a:fld id="{29EA7B19-9224-4470-A73B-E6D3E421C470}" type="VALUE">
                      <a:rPr lang="en-US" baseline="0"/>
                      <a:pPr/>
                      <a:t>[VALOR]</a:t>
                    </a:fld>
                    <a:r>
                      <a:rPr lang="en-US" baseline="0"/>
                      <a:t> SO = 55.6%</a:t>
                    </a:r>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E10-4842-8938-9051BF498FE6}"/>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vert="horz"/>
              <a:lstStyle/>
              <a:p>
                <a:pPr>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Hoja1!$A$4:$A$6</c:f>
              <c:strCache>
                <c:ptCount val="2"/>
                <c:pt idx="0">
                  <c:v>Cumplimiento parcial</c:v>
                </c:pt>
                <c:pt idx="1">
                  <c:v>Cumplimiento total</c:v>
                </c:pt>
              </c:strCache>
            </c:strRef>
          </c:cat>
          <c:val>
            <c:numRef>
              <c:f>Hoja1!$B$4:$B$6</c:f>
              <c:numCache>
                <c:formatCode>General</c:formatCode>
                <c:ptCount val="2"/>
                <c:pt idx="0">
                  <c:v>4</c:v>
                </c:pt>
                <c:pt idx="1">
                  <c:v>5</c:v>
                </c:pt>
              </c:numCache>
            </c:numRef>
          </c:val>
          <c:extLst>
            <c:ext xmlns:c16="http://schemas.microsoft.com/office/drawing/2014/chart" uri="{C3380CC4-5D6E-409C-BE32-E72D297353CC}">
              <c16:uniqueId val="{00000004-BE10-4842-8938-9051BF498FE6}"/>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1">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 dinámica1</c:name>
    <c:fmtId val="-1"/>
  </c:pivotSource>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t>tercera evaluación vinculante 2020 Nivel de cumplimiento</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title>
    <c:autoTitleDeleted val="0"/>
    <c:pivotFmts>
      <c:pivotFmt>
        <c:idx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circle"/>
          <c:size val="6"/>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3"/>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4"/>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5"/>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7"/>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8"/>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2"/>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3"/>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2.0912073490813141E-3"/>
              <c:y val="5.8755468066491665E-2"/>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14"/>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layout>
            <c:manualLayout>
              <c:x val="0.20462423447069117"/>
              <c:y val="0.12089056576261301"/>
            </c:manualLayout>
          </c:layout>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bestFit"/>
          <c:showLegendKey val="0"/>
          <c:showVal val="1"/>
          <c:showCatName val="1"/>
          <c:showSerName val="0"/>
          <c:showPercent val="0"/>
          <c:showBubbleSize val="0"/>
          <c:extLst>
            <c:ext xmlns:c15="http://schemas.microsoft.com/office/drawing/2012/chart" uri="{CE6537A1-D6FC-4f65-9D91-7224C49458BB}"/>
          </c:extLst>
        </c:dLbl>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865200225606317E-2"/>
          <c:y val="0.15408163265306121"/>
          <c:w val="0.89396503102086855"/>
          <c:h val="0.76088435374149654"/>
        </c:manualLayout>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69DF-41BC-9D70-EB4830AB217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69DF-41BC-9D70-EB4830AB217F}"/>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69DF-41BC-9D70-EB4830AB217F}"/>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69DF-41BC-9D70-EB4830AB217F}"/>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481FC978-311F-4ED8-99BA-5410329001FC}" type="CATEGORYNAME">
                      <a:rPr lang="en-US"/>
                      <a:pPr>
                        <a:defRPr/>
                      </a:pPr>
                      <a:t>[NOMBRE DE CATEGORÍA]</a:t>
                    </a:fld>
                    <a:r>
                      <a:rPr lang="en-US" baseline="0"/>
                      <a:t>, </a:t>
                    </a:r>
                    <a:fld id="{37B71A5A-AF57-4EDF-87D2-4E8F98BB3050}" type="VALUE">
                      <a:rPr lang="en-US" baseline="0"/>
                      <a:pPr>
                        <a:defRPr/>
                      </a:pPr>
                      <a:t>[VALOR]</a:t>
                    </a:fld>
                    <a:r>
                      <a:rPr lang="en-US" baseline="0"/>
                      <a:t> SO = 66%</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9DF-41BC-9D70-EB4830AB217F}"/>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8D3F8328-E8E4-4072-8087-BE89F1FF6180}" type="CATEGORYNAME">
                      <a:rPr lang="en-US"/>
                      <a:pPr>
                        <a:defRPr>
                          <a:solidFill>
                            <a:schemeClr val="accent1"/>
                          </a:solidFill>
                        </a:defRPr>
                      </a:pPr>
                      <a:t>[NOMBRE DE CATEGORÍA]</a:t>
                    </a:fld>
                    <a:r>
                      <a:rPr lang="en-US" baseline="0"/>
                      <a:t>, </a:t>
                    </a:r>
                    <a:fld id="{4400DD72-2944-4D6C-A7B7-373A7C374CA7}" type="VALUE">
                      <a:rPr lang="en-US" baseline="0"/>
                      <a:pPr>
                        <a:defRPr>
                          <a:solidFill>
                            <a:schemeClr val="accent1"/>
                          </a:solidFill>
                        </a:defRPr>
                      </a:pPr>
                      <a:t>[VALOR]</a:t>
                    </a:fld>
                    <a:r>
                      <a:rPr lang="en-US" baseline="0"/>
                      <a:t> SO = 24%</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9DF-41BC-9D70-EB4830AB217F}"/>
                </c:ext>
              </c:extLst>
            </c:dLbl>
            <c:dLbl>
              <c:idx val="2"/>
              <c:layout>
                <c:manualLayout>
                  <c:x val="2.0912073490813141E-3"/>
                  <c:y val="5.8755468066491665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11DBB9B8-1753-4397-BC1C-A5431D013025}" type="CATEGORYNAME">
                      <a:rPr lang="en-US"/>
                      <a:pPr>
                        <a:defRPr>
                          <a:solidFill>
                            <a:schemeClr val="accent1"/>
                          </a:solidFill>
                        </a:defRPr>
                      </a:pPr>
                      <a:t>[NOMBRE DE CATEGORÍA]</a:t>
                    </a:fld>
                    <a:r>
                      <a:rPr lang="en-US" baseline="0"/>
                      <a:t>, </a:t>
                    </a:r>
                    <a:fld id="{09051B0F-3551-4F5D-9EDC-7C7074B25D0B}" type="VALUE">
                      <a:rPr lang="en-US" baseline="0"/>
                      <a:pPr>
                        <a:defRPr>
                          <a:solidFill>
                            <a:schemeClr val="accent1"/>
                          </a:solidFill>
                        </a:defRPr>
                      </a:pPr>
                      <a:t>[VALOR]</a:t>
                    </a:fld>
                    <a:r>
                      <a:rPr lang="en-US" baseline="0"/>
                      <a:t> SO = 5%</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9DF-41BC-9D70-EB4830AB217F}"/>
                </c:ext>
              </c:extLst>
            </c:dLbl>
            <c:dLbl>
              <c:idx val="3"/>
              <c:layout>
                <c:manualLayout>
                  <c:x val="0.18883177673856749"/>
                  <c:y val="4.9461942257217832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1DF16F21-C3ED-4257-BD4C-2727A7C556C4}" type="CATEGORYNAME">
                      <a:rPr lang="en-US"/>
                      <a:pPr>
                        <a:defRPr>
                          <a:solidFill>
                            <a:schemeClr val="accent1"/>
                          </a:solidFill>
                        </a:defRPr>
                      </a:pPr>
                      <a:t>[NOMBRE DE CATEGORÍA]</a:t>
                    </a:fld>
                    <a:r>
                      <a:rPr lang="en-US" baseline="0"/>
                      <a:t>, </a:t>
                    </a:r>
                    <a:fld id="{4FB67783-31EC-448E-9A34-96EA142E0117}" type="VALUE">
                      <a:rPr lang="en-US" baseline="0"/>
                      <a:pPr>
                        <a:defRPr>
                          <a:solidFill>
                            <a:schemeClr val="accent1"/>
                          </a:solidFill>
                        </a:defRPr>
                      </a:pPr>
                      <a:t>[VALOR]</a:t>
                    </a:fld>
                    <a:r>
                      <a:rPr lang="en-US" baseline="0"/>
                      <a:t> SO = 5%</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9DF-41BC-9D70-EB4830AB217F}"/>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Hoja1!$A$4:$A$8</c:f>
              <c:strCache>
                <c:ptCount val="4"/>
                <c:pt idx="0">
                  <c:v>Cumplimiento parcial</c:v>
                </c:pt>
                <c:pt idx="1">
                  <c:v>Cumplimiento total</c:v>
                </c:pt>
                <c:pt idx="2">
                  <c:v>Incumplimiento parcial</c:v>
                </c:pt>
                <c:pt idx="3">
                  <c:v>Incumplimiento total</c:v>
                </c:pt>
              </c:strCache>
            </c:strRef>
          </c:cat>
          <c:val>
            <c:numRef>
              <c:f>Hoja1!$B$4:$B$8</c:f>
              <c:numCache>
                <c:formatCode>General</c:formatCode>
                <c:ptCount val="4"/>
                <c:pt idx="0">
                  <c:v>39</c:v>
                </c:pt>
                <c:pt idx="1">
                  <c:v>14</c:v>
                </c:pt>
                <c:pt idx="2">
                  <c:v>3</c:v>
                </c:pt>
                <c:pt idx="3">
                  <c:v>3</c:v>
                </c:pt>
              </c:numCache>
            </c:numRef>
          </c:val>
          <c:extLst>
            <c:ext xmlns:c16="http://schemas.microsoft.com/office/drawing/2014/chart" uri="{C3380CC4-5D6E-409C-BE32-E72D297353CC}">
              <c16:uniqueId val="{00000008-69DF-41BC-9D70-EB4830AB217F}"/>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evaluación.xlsx]Hoja1!TablaDinámica5</c:name>
    <c:fmtId val="-1"/>
  </c:pivotSource>
  <c:chart>
    <c:title>
      <c:tx>
        <c:rich>
          <a:bodyPr rot="0" vert="horz"/>
          <a:lstStyle/>
          <a:p>
            <a:pPr>
              <a:defRPr sz="1100"/>
            </a:pPr>
            <a:r>
              <a:rPr lang="en-US" sz="1100"/>
              <a:t>Tercera Evaluación Vinculante 2020</a:t>
            </a:r>
          </a:p>
          <a:p>
            <a:pPr>
              <a:defRPr sz="1100"/>
            </a:pPr>
            <a:r>
              <a:rPr lang="en-US" sz="1100"/>
              <a:t>Nivel de cumplimiento</a:t>
            </a:r>
          </a:p>
        </c:rich>
      </c:tx>
      <c:overlay val="0"/>
      <c:spPr>
        <a:noFill/>
        <a:ln>
          <a:noFill/>
        </a:ln>
        <a:effectLst/>
      </c:spPr>
    </c:title>
    <c:autoTitleDeleted val="0"/>
    <c:pivotFmts>
      <c:pivotFmt>
        <c:idx val="0"/>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3"/>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4"/>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5"/>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7"/>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8"/>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1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CC9-4C8B-86A1-F6ACAD5C2E49}"/>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CC9-4C8B-86A1-F6ACAD5C2E49}"/>
              </c:ext>
            </c:extLst>
          </c:dPt>
          <c:dLbls>
            <c:dLbl>
              <c:idx val="0"/>
              <c:tx>
                <c:rich>
                  <a:bodyPr/>
                  <a:lstStyle/>
                  <a:p>
                    <a:fld id="{F4424E71-2C75-43B6-88BB-E4ADA46172E2}" type="CATEGORYNAME">
                      <a:rPr lang="en-US"/>
                      <a:pPr/>
                      <a:t>[NOMBRE DE CATEGORÍA]</a:t>
                    </a:fld>
                    <a:r>
                      <a:rPr lang="en-US" baseline="0"/>
                      <a:t>, </a:t>
                    </a:r>
                    <a:fld id="{BD99A94F-E6EB-44EF-82FC-74AD720632C7}" type="VALUE">
                      <a:rPr lang="en-US" baseline="0"/>
                      <a:pPr/>
                      <a:t>[VALOR]</a:t>
                    </a:fld>
                    <a:r>
                      <a:rPr lang="en-US" baseline="0"/>
                      <a:t> SO = 73%</a:t>
                    </a:r>
                  </a:p>
                </c:rich>
              </c:tx>
              <c:dLblPos val="inEnd"/>
              <c:showLegendKey val="0"/>
              <c:showVal val="1"/>
              <c:showCatName val="1"/>
              <c:showSerName val="0"/>
              <c:showPercent val="0"/>
              <c:showBubbleSize val="0"/>
              <c:extLst>
                <c:ext xmlns:c15="http://schemas.microsoft.com/office/drawing/2012/chart" uri="{CE6537A1-D6FC-4f65-9D91-7224C49458BB}">
                  <c15:layout>
                    <c:manualLayout>
                      <c:w val="0.22535271483539973"/>
                      <c:h val="0.12026940346375883"/>
                    </c:manualLayout>
                  </c15:layout>
                  <c15:dlblFieldTable/>
                  <c15:showDataLabelsRange val="0"/>
                </c:ext>
                <c:ext xmlns:c16="http://schemas.microsoft.com/office/drawing/2014/chart" uri="{C3380CC4-5D6E-409C-BE32-E72D297353CC}">
                  <c16:uniqueId val="{00000001-9CC9-4C8B-86A1-F6ACAD5C2E49}"/>
                </c:ext>
              </c:extLst>
            </c:dLbl>
            <c:dLbl>
              <c:idx val="1"/>
              <c:tx>
                <c:rich>
                  <a:bodyPr/>
                  <a:lstStyle/>
                  <a:p>
                    <a:fld id="{EAAB6197-60BC-4B37-A10B-5703000BA6C4}" type="CATEGORYNAME">
                      <a:rPr lang="en-US"/>
                      <a:pPr/>
                      <a:t>[NOMBRE DE CATEGORÍA]</a:t>
                    </a:fld>
                    <a:r>
                      <a:rPr lang="en-US" baseline="0"/>
                      <a:t>, </a:t>
                    </a:r>
                    <a:fld id="{0B0F2526-8A65-44AA-93DA-3102B91EE878}" type="VALUE">
                      <a:rPr lang="en-US" baseline="0"/>
                      <a:pPr/>
                      <a:t>[VALOR]</a:t>
                    </a:fld>
                    <a:r>
                      <a:rPr lang="en-US" baseline="0"/>
                      <a:t> SO = 27%</a:t>
                    </a:r>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CC9-4C8B-86A1-F6ACAD5C2E49}"/>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vert="horz"/>
              <a:lstStyle/>
              <a:p>
                <a:pPr>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Hoja1!$A$4:$A$6</c:f>
              <c:strCache>
                <c:ptCount val="2"/>
                <c:pt idx="0">
                  <c:v>Cumplimiento parcial</c:v>
                </c:pt>
                <c:pt idx="1">
                  <c:v>Cumplimiento total</c:v>
                </c:pt>
              </c:strCache>
            </c:strRef>
          </c:cat>
          <c:val>
            <c:numRef>
              <c:f>Hoja1!$B$4:$B$6</c:f>
              <c:numCache>
                <c:formatCode>General</c:formatCode>
                <c:ptCount val="2"/>
                <c:pt idx="0">
                  <c:v>8</c:v>
                </c:pt>
                <c:pt idx="1">
                  <c:v>3</c:v>
                </c:pt>
              </c:numCache>
            </c:numRef>
          </c:val>
          <c:extLst>
            <c:ext xmlns:c16="http://schemas.microsoft.com/office/drawing/2014/chart" uri="{C3380CC4-5D6E-409C-BE32-E72D297353CC}">
              <c16:uniqueId val="{00000004-9CC9-4C8B-86A1-F6ACAD5C2E49}"/>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1">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evaluación.xlsx]Hoja1!TablaDinámica5</c:name>
    <c:fmtId val="-1"/>
  </c:pivotSource>
  <c:chart>
    <c:title>
      <c:tx>
        <c:rich>
          <a:bodyPr rot="0" vert="horz"/>
          <a:lstStyle/>
          <a:p>
            <a:pPr>
              <a:defRPr/>
            </a:pPr>
            <a:r>
              <a:rPr lang="en-US"/>
              <a:t>Tercera Evaluación Vinculante 2020</a:t>
            </a:r>
          </a:p>
          <a:p>
            <a:pPr>
              <a:defRPr/>
            </a:pPr>
            <a:r>
              <a:rPr lang="en-US"/>
              <a:t>Nivel de cumplimiento</a:t>
            </a:r>
          </a:p>
        </c:rich>
      </c:tx>
      <c:overlay val="0"/>
      <c:spPr>
        <a:noFill/>
        <a:ln>
          <a:noFill/>
        </a:ln>
        <a:effectLst/>
      </c:spPr>
    </c:title>
    <c:autoTitleDeleted val="0"/>
    <c:pivotFmts>
      <c:pivotFmt>
        <c:idx val="0"/>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3"/>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4"/>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5"/>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7"/>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8"/>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8344-4CD3-81DB-135A5905E6AA}"/>
              </c:ext>
            </c:extLst>
          </c:dPt>
          <c:dPt>
            <c:idx val="1"/>
            <c:bubble3D val="0"/>
            <c:extLst>
              <c:ext xmlns:c16="http://schemas.microsoft.com/office/drawing/2014/chart" uri="{C3380CC4-5D6E-409C-BE32-E72D297353CC}">
                <c16:uniqueId val="{00000002-8344-4CD3-81DB-135A5905E6AA}"/>
              </c:ext>
            </c:extLst>
          </c:dPt>
          <c:dLbls>
            <c:dLbl>
              <c:idx val="0"/>
              <c:tx>
                <c:rich>
                  <a:bodyPr/>
                  <a:lstStyle/>
                  <a:p>
                    <a:fld id="{DAAAD5A9-6412-432A-ADE5-B31E7D93B607}" type="CATEGORYNAME">
                      <a:rPr lang="en-US"/>
                      <a:pPr/>
                      <a:t>[NOMBRE DE CATEGORÍA]</a:t>
                    </a:fld>
                    <a:r>
                      <a:rPr lang="en-US" baseline="0"/>
                      <a:t>, </a:t>
                    </a:r>
                    <a:fld id="{69BE3435-90C6-4EF7-83DA-3D5176E01E14}" type="VALUE">
                      <a:rPr lang="en-US" baseline="0"/>
                      <a:pPr/>
                      <a:t>[VALOR]</a:t>
                    </a:fld>
                    <a:r>
                      <a:rPr lang="en-US" baseline="0"/>
                      <a:t> SO = 100%</a:t>
                    </a:r>
                  </a:p>
                </c:rich>
              </c:tx>
              <c:dLblPos val="inEnd"/>
              <c:showLegendKey val="0"/>
              <c:showVal val="1"/>
              <c:showCatName val="1"/>
              <c:showSerName val="0"/>
              <c:showPercent val="0"/>
              <c:showBubbleSize val="0"/>
              <c:extLst>
                <c:ext xmlns:c15="http://schemas.microsoft.com/office/drawing/2012/chart" uri="{CE6537A1-D6FC-4f65-9D91-7224C49458BB}">
                  <c15:layout>
                    <c:manualLayout>
                      <c:w val="0.21656777196044211"/>
                      <c:h val="0.16996527777777776"/>
                    </c:manualLayout>
                  </c15:layout>
                  <c15:dlblFieldTable/>
                  <c15:showDataLabelsRange val="0"/>
                </c:ext>
                <c:ext xmlns:c16="http://schemas.microsoft.com/office/drawing/2014/chart" uri="{C3380CC4-5D6E-409C-BE32-E72D297353CC}">
                  <c16:uniqueId val="{00000001-8344-4CD3-81DB-135A5905E6AA}"/>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vert="horz"/>
              <a:lstStyle/>
              <a:p>
                <a:pPr>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Hoja1!$A$4:$A$5</c:f>
              <c:strCache>
                <c:ptCount val="1"/>
                <c:pt idx="0">
                  <c:v>Cumplimiento parcial</c:v>
                </c:pt>
              </c:strCache>
            </c:strRef>
          </c:cat>
          <c:val>
            <c:numRef>
              <c:f>Hoja1!$B$4:$B$5</c:f>
              <c:numCache>
                <c:formatCode>General</c:formatCode>
                <c:ptCount val="1"/>
                <c:pt idx="0">
                  <c:v>2</c:v>
                </c:pt>
              </c:numCache>
            </c:numRef>
          </c:val>
          <c:extLst>
            <c:ext xmlns:c16="http://schemas.microsoft.com/office/drawing/2014/chart" uri="{C3380CC4-5D6E-409C-BE32-E72D297353CC}">
              <c16:uniqueId val="{00000003-8344-4CD3-81DB-135A5905E6AA}"/>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s-MX"/>
    </a:p>
  </c:txPr>
  <c:externalData r:id="rId1">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evaluación.xlsx]Hoja1!TablaDinámica5</c:name>
    <c:fmtId val="-1"/>
  </c:pivotSource>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t>Tercera Evaluación Vinculante 2020</a:t>
            </a:r>
          </a:p>
          <a:p>
            <a:pPr>
              <a:defRPr sz="1100"/>
            </a:pPr>
            <a:r>
              <a:rPr lang="en-US" sz="1100"/>
              <a:t>Nivel de cumplimiento</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title>
    <c:autoTitleDeleted val="0"/>
    <c:pivotFmts>
      <c:pivotFmt>
        <c:idx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circle"/>
          <c:size val="6"/>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3"/>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4"/>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5"/>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7"/>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15:xForSave val="1"/>
            </c:ext>
          </c:extLst>
        </c:dLbl>
      </c:pivotFmt>
      <c:pivotFmt>
        <c:idx val="8"/>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5610-4CF8-ABEB-759023DE6720}"/>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5610-4CF8-ABEB-759023DE6720}"/>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E936DB85-1849-4D0C-82D9-24EA4744B5CE}" type="CATEGORYNAME">
                      <a:rPr lang="en-US"/>
                      <a:pPr>
                        <a:defRPr/>
                      </a:pPr>
                      <a:t>[NOMBRE DE CATEGORÍA]</a:t>
                    </a:fld>
                    <a:r>
                      <a:rPr lang="en-US" baseline="0"/>
                      <a:t>, </a:t>
                    </a:r>
                    <a:fld id="{18C10797-1CC1-4F74-AD7C-4811B5667C40}" type="VALUE">
                      <a:rPr lang="en-US" baseline="0"/>
                      <a:pPr>
                        <a:defRPr/>
                      </a:pPr>
                      <a:t>[VALOR]</a:t>
                    </a:fld>
                    <a:r>
                      <a:rPr lang="en-US" baseline="0"/>
                      <a:t> SO =50%</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610-4CF8-ABEB-759023DE672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fld id="{FBFD7529-D4A2-490A-A4B0-F7C7C6C82562}" type="CATEGORYNAME">
                      <a:rPr lang="en-US"/>
                      <a:pPr>
                        <a:defRPr>
                          <a:solidFill>
                            <a:schemeClr val="accent1"/>
                          </a:solidFill>
                        </a:defRPr>
                      </a:pPr>
                      <a:t>[NOMBRE DE CATEGORÍA]</a:t>
                    </a:fld>
                    <a:r>
                      <a:rPr lang="en-US" baseline="0"/>
                      <a:t>, </a:t>
                    </a:r>
                    <a:fld id="{FE24A274-CF24-481D-A6BF-17F05E88F052}" type="VALUE">
                      <a:rPr lang="en-US" baseline="0"/>
                      <a:pPr>
                        <a:defRPr>
                          <a:solidFill>
                            <a:schemeClr val="accent1"/>
                          </a:solidFill>
                        </a:defRPr>
                      </a:pPr>
                      <a:t>[VALOR]</a:t>
                    </a:fld>
                    <a:r>
                      <a:rPr lang="en-US" baseline="0"/>
                      <a:t> SO = 50%</a:t>
                    </a:r>
                  </a:p>
                </c:rich>
              </c:tx>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610-4CF8-ABEB-759023DE6720}"/>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Arial" panose="020B0604020202020204" pitchFamily="34" charset="0"/>
                    <a:ea typeface="+mn-ea"/>
                    <a:cs typeface="Arial" panose="020B0604020202020204" pitchFamily="34" charset="0"/>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Hoja1!$A$4:$A$6</c:f>
              <c:strCache>
                <c:ptCount val="2"/>
                <c:pt idx="0">
                  <c:v>Cumplimiento parcial</c:v>
                </c:pt>
                <c:pt idx="1">
                  <c:v>Cumplimiento total</c:v>
                </c:pt>
              </c:strCache>
            </c:strRef>
          </c:cat>
          <c:val>
            <c:numRef>
              <c:f>Hoja1!$B$4:$B$6</c:f>
              <c:numCache>
                <c:formatCode>General</c:formatCode>
                <c:ptCount val="2"/>
                <c:pt idx="0">
                  <c:v>1</c:v>
                </c:pt>
                <c:pt idx="1">
                  <c:v>1</c:v>
                </c:pt>
              </c:numCache>
            </c:numRef>
          </c:val>
          <c:extLst>
            <c:ext xmlns:c16="http://schemas.microsoft.com/office/drawing/2014/chart" uri="{C3380CC4-5D6E-409C-BE32-E72D297353CC}">
              <c16:uniqueId val="{00000004-5610-4CF8-ABEB-759023DE6720}"/>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[3ra evaluación.xlsx]Hoja1!TablaDinámica5</c:name>
    <c:fmtId val="-1"/>
  </c:pivotSource>
  <c:chart>
    <c:title>
      <c:tx>
        <c:rich>
          <a:bodyPr rot="0" vert="horz"/>
          <a:lstStyle/>
          <a:p>
            <a:pPr>
              <a:defRPr sz="1100"/>
            </a:pPr>
            <a:r>
              <a:rPr lang="en-US" sz="1100"/>
              <a:t>Tercera Evaluación Vinculante 2020</a:t>
            </a:r>
          </a:p>
          <a:p>
            <a:pPr>
              <a:defRPr sz="1100"/>
            </a:pPr>
            <a:r>
              <a:rPr lang="en-US" sz="1100"/>
              <a:t>Nivel de cumplimiento</a:t>
            </a:r>
          </a:p>
        </c:rich>
      </c:tx>
      <c:overlay val="0"/>
      <c:spPr>
        <a:noFill/>
        <a:ln>
          <a:noFill/>
        </a:ln>
        <a:effectLst/>
      </c:spPr>
    </c:title>
    <c:autoTitleDeleted val="0"/>
    <c:pivotFmts>
      <c:pivotFmt>
        <c:idx val="0"/>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3"/>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4"/>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5"/>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7"/>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
        <c:idx val="8"/>
        <c:marker>
          <c:symbol val="none"/>
        </c:marker>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MX"/>
            </a:p>
          </c:txPr>
          <c:dLblPos val="inEnd"/>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pivotFmt>
      <c:pivotFmt>
        <c:idx val="1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Hoja1!$B$3</c:f>
              <c:strCache>
                <c:ptCount val="1"/>
                <c:pt idx="0">
                  <c:v>Total</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BCD1-4052-97BD-9AFA44123A0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BCD1-4052-97BD-9AFA44123A04}"/>
              </c:ext>
            </c:extLst>
          </c:dPt>
          <c:dLbls>
            <c:dLbl>
              <c:idx val="0"/>
              <c:tx>
                <c:rich>
                  <a:bodyPr/>
                  <a:lstStyle/>
                  <a:p>
                    <a:fld id="{133C65E3-4441-4216-AF21-245D7C6A6AC0}" type="CATEGORYNAME">
                      <a:rPr lang="en-US"/>
                      <a:pPr/>
                      <a:t>[NOMBRE DE CATEGORÍA]</a:t>
                    </a:fld>
                    <a:r>
                      <a:rPr lang="en-US" baseline="0"/>
                      <a:t>, </a:t>
                    </a:r>
                    <a:fld id="{563AAA35-E536-4C72-A323-670046D5BAD2}" type="VALUE">
                      <a:rPr lang="en-US" baseline="0"/>
                      <a:pPr/>
                      <a:t>[VALOR]</a:t>
                    </a:fld>
                    <a:r>
                      <a:rPr lang="en-US" baseline="0"/>
                      <a:t> SO = 40%</a:t>
                    </a:r>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CD1-4052-97BD-9AFA44123A04}"/>
                </c:ext>
              </c:extLst>
            </c:dLbl>
            <c:dLbl>
              <c:idx val="1"/>
              <c:tx>
                <c:rich>
                  <a:bodyPr/>
                  <a:lstStyle/>
                  <a:p>
                    <a:fld id="{F347D2DA-2D9C-49AC-90F0-DEE790DA121A}" type="CATEGORYNAME">
                      <a:rPr lang="en-US"/>
                      <a:pPr/>
                      <a:t>[NOMBRE DE CATEGORÍA]</a:t>
                    </a:fld>
                    <a:r>
                      <a:rPr lang="en-US" baseline="0"/>
                      <a:t>, </a:t>
                    </a:r>
                    <a:fld id="{CA6A7C41-AAB8-494F-9D7F-E93AD2142EAA}" type="VALUE">
                      <a:rPr lang="en-US" baseline="0"/>
                      <a:pPr/>
                      <a:t>[VALOR]</a:t>
                    </a:fld>
                    <a:r>
                      <a:rPr lang="en-US" baseline="0"/>
                      <a:t> SO = 40%</a:t>
                    </a:r>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CD1-4052-97BD-9AFA44123A04}"/>
                </c:ext>
              </c:extLst>
            </c:dLbl>
            <c:dLbl>
              <c:idx val="2"/>
              <c:tx>
                <c:rich>
                  <a:bodyPr/>
                  <a:lstStyle/>
                  <a:p>
                    <a:fld id="{BF47DB54-0934-4155-9244-5D5045A8FA54}" type="CATEGORYNAME">
                      <a:rPr lang="en-US"/>
                      <a:pPr/>
                      <a:t>[NOMBRE DE CATEGORÍA]</a:t>
                    </a:fld>
                    <a:r>
                      <a:rPr lang="en-US" baseline="0"/>
                      <a:t>, </a:t>
                    </a:r>
                    <a:fld id="{5A4E912C-DCEB-4EFC-BC26-3ADC13980B31}" type="VALUE">
                      <a:rPr lang="en-US" baseline="0"/>
                      <a:pPr/>
                      <a:t>[VALOR]</a:t>
                    </a:fld>
                    <a:r>
                      <a:rPr lang="en-US" baseline="0"/>
                      <a:t> SO = 20%</a:t>
                    </a:r>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BC3-44BA-BEC7-71ACBE7B48B6}"/>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vert="horz"/>
              <a:lstStyle/>
              <a:p>
                <a:pPr>
                  <a:defRPr/>
                </a:pPr>
                <a:endParaRPr lang="es-MX"/>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Hoja1!$A$4:$A$7</c:f>
              <c:strCache>
                <c:ptCount val="3"/>
                <c:pt idx="0">
                  <c:v>Cumplimiento parcial</c:v>
                </c:pt>
                <c:pt idx="1">
                  <c:v>Cumplimiento total</c:v>
                </c:pt>
                <c:pt idx="2">
                  <c:v>Incumplimiento parcial</c:v>
                </c:pt>
              </c:strCache>
            </c:strRef>
          </c:cat>
          <c:val>
            <c:numRef>
              <c:f>Hoja1!$B$4:$B$7</c:f>
              <c:numCache>
                <c:formatCode>General</c:formatCode>
                <c:ptCount val="3"/>
                <c:pt idx="0">
                  <c:v>2</c:v>
                </c:pt>
                <c:pt idx="1">
                  <c:v>2</c:v>
                </c:pt>
                <c:pt idx="2">
                  <c:v>1</c:v>
                </c:pt>
              </c:numCache>
            </c:numRef>
          </c:val>
          <c:extLst>
            <c:ext xmlns:c16="http://schemas.microsoft.com/office/drawing/2014/chart" uri="{C3380CC4-5D6E-409C-BE32-E72D297353CC}">
              <c16:uniqueId val="{00000004-BCD1-4052-97BD-9AFA44123A04}"/>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1">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CiH6WxsfegyohOdRHoQecS5j2g==">AMUW2mWldLwQi1aYDVx7hM76cmLi9YgaQhPck/Q17+YIG2BXJKSw2uQ4KPGKwU8lmVUe0u1pQEIPxjEXkaY4oEmnB+WRrESrFK5Qdp18ANm+9VAYSxSRWo6X62ceEHlE0CKuJ3VdBEkn4c+zHcFA/FAbU7HPBJmNInfVzqy5g3ZMDcPk7XbDeT6RjQPx5CPHa/JyiiqhV+6RLRKd+tubJ5Qv8lXwzrqRdZiSBnhcYPJDNtRNeX53SmreUymw8lWrHR7FZ7VoZQs3wXEumAK64+/oPXCBu7gItH2u0kD7a+8hk9JCNC/9azc4Y79KW1I0k3I2lOBaUx8qNOxWJwbMPekKvUBptU6stMm0GaxFhv0nsFNvUkXPmEyDSddd0HHInPhFg309ywwNuRuw0H0Eq94tZd1T9VhegyPISAk1JfU+GmyURXhjDTyPJWfpSsJZgruPCp+l9IKB7RAEqaOnyG2XkbGOv5i9khU5wP0BiQd5eDaaf42Rvw/NSBRfDzBP/uugKeVq8Eme+GDENhMPhY60wFSUu5zvmpRqo5szPd+AMlw4OR1Au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15885</Words>
  <Characters>87372</Characters>
  <Application>Microsoft Office Word</Application>
  <DocSecurity>0</DocSecurity>
  <Lines>728</Lines>
  <Paragraphs>206</Paragraphs>
  <ScaleCrop>false</ScaleCrop>
  <Company/>
  <LinksUpToDate>false</LinksUpToDate>
  <CharactersWithSpaces>103051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Subdirección de Evaluación</dc:creator>
  <cp:lastModifiedBy>Sonia Quintana Martínez</cp:lastModifiedBy>
  <cp:revision>2</cp:revision>
  <dcterms:created xsi:type="dcterms:W3CDTF">2020-12-15T18:27:00Z</dcterms:created>
  <dcterms:modified xsi:type="dcterms:W3CDTF">2020-12-15T18:27:00Z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0x0101007BBDD1B6E6B2C742BE3F4CEA22114537</vt:lpwstr>
  </property>
</Properties>
</file>